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DC4" w:rsidRDefault="00F86856">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FC6DC4" w:rsidRDefault="00FC6DC4">
      <w:pPr>
        <w:adjustRightInd w:val="0"/>
        <w:spacing w:line="360" w:lineRule="auto"/>
        <w:jc w:val="center"/>
        <w:rPr>
          <w:rStyle w:val="af"/>
          <w:rFonts w:ascii="宋体" w:hAnsi="宋体"/>
          <w:sz w:val="32"/>
          <w:szCs w:val="32"/>
        </w:rPr>
      </w:pPr>
    </w:p>
    <w:p w:rsidR="00FC6DC4" w:rsidRDefault="00FC6DC4">
      <w:pPr>
        <w:adjustRightInd w:val="0"/>
        <w:spacing w:line="360" w:lineRule="auto"/>
        <w:jc w:val="center"/>
        <w:rPr>
          <w:rStyle w:val="af"/>
          <w:rFonts w:ascii="宋体" w:hAnsi="宋体"/>
          <w:sz w:val="32"/>
          <w:szCs w:val="32"/>
        </w:rPr>
      </w:pPr>
    </w:p>
    <w:p w:rsidR="00FC6DC4" w:rsidRDefault="00F86856">
      <w:pPr>
        <w:adjustRightInd w:val="0"/>
        <w:spacing w:line="360" w:lineRule="auto"/>
        <w:jc w:val="center"/>
        <w:rPr>
          <w:rStyle w:val="af"/>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FC6DC4" w:rsidRDefault="00FC6DC4">
      <w:pPr>
        <w:adjustRightInd w:val="0"/>
        <w:spacing w:line="360" w:lineRule="auto"/>
        <w:jc w:val="center"/>
        <w:rPr>
          <w:rStyle w:val="af"/>
          <w:rFonts w:ascii="宋体" w:hAnsi="宋体"/>
          <w:sz w:val="32"/>
          <w:szCs w:val="32"/>
        </w:rPr>
      </w:pPr>
    </w:p>
    <w:p w:rsidR="00FC6DC4" w:rsidRDefault="00F86856">
      <w:pPr>
        <w:adjustRightInd w:val="0"/>
        <w:spacing w:line="360" w:lineRule="auto"/>
        <w:jc w:val="center"/>
        <w:rPr>
          <w:rStyle w:val="af"/>
          <w:rFonts w:ascii="黑体" w:eastAsia="黑体" w:hAnsi="黑体"/>
          <w:sz w:val="44"/>
          <w:szCs w:val="44"/>
        </w:rPr>
      </w:pPr>
      <w:r>
        <w:rPr>
          <w:rFonts w:ascii="黑体" w:eastAsia="黑体" w:hAnsi="黑体" w:hint="eastAsia"/>
          <w:b/>
          <w:sz w:val="44"/>
          <w:szCs w:val="44"/>
        </w:rPr>
        <w:t>兴银理财天天万利</w:t>
      </w:r>
      <w:proofErr w:type="gramStart"/>
      <w:r>
        <w:rPr>
          <w:rFonts w:ascii="黑体" w:eastAsia="黑体" w:hAnsi="黑体" w:hint="eastAsia"/>
          <w:b/>
          <w:sz w:val="44"/>
          <w:szCs w:val="44"/>
        </w:rPr>
        <w:t>宝稳利</w:t>
      </w:r>
      <w:proofErr w:type="gramEnd"/>
      <w:r>
        <w:rPr>
          <w:rFonts w:ascii="黑体" w:eastAsia="黑体" w:hAnsi="黑体" w:hint="eastAsia"/>
          <w:b/>
          <w:sz w:val="44"/>
          <w:szCs w:val="44"/>
        </w:rPr>
        <w:t>净值型理财</w:t>
      </w:r>
      <w:proofErr w:type="gramStart"/>
      <w:r>
        <w:rPr>
          <w:rFonts w:ascii="黑体" w:eastAsia="黑体" w:hAnsi="黑体" w:hint="eastAsia"/>
          <w:b/>
          <w:sz w:val="44"/>
          <w:szCs w:val="44"/>
        </w:rPr>
        <w:t>产品</w:t>
      </w:r>
      <w:r>
        <w:rPr>
          <w:rStyle w:val="af"/>
          <w:rFonts w:ascii="黑体" w:eastAsia="黑体" w:hAnsi="黑体" w:hint="eastAsia"/>
          <w:sz w:val="44"/>
          <w:szCs w:val="44"/>
        </w:rPr>
        <w:t>产品</w:t>
      </w:r>
      <w:proofErr w:type="gramEnd"/>
      <w:r>
        <w:rPr>
          <w:rStyle w:val="af"/>
          <w:rFonts w:ascii="黑体" w:eastAsia="黑体" w:hAnsi="黑体" w:hint="eastAsia"/>
          <w:sz w:val="44"/>
          <w:szCs w:val="44"/>
        </w:rPr>
        <w:t>说明书</w:t>
      </w:r>
    </w:p>
    <w:p w:rsidR="00FC6DC4" w:rsidRDefault="00FC6DC4">
      <w:pPr>
        <w:adjustRightInd w:val="0"/>
        <w:spacing w:line="360" w:lineRule="auto"/>
        <w:jc w:val="center"/>
        <w:rPr>
          <w:rStyle w:val="af"/>
          <w:rFonts w:ascii="宋体" w:hAnsi="宋体"/>
          <w:sz w:val="32"/>
          <w:szCs w:val="32"/>
        </w:rPr>
      </w:pPr>
    </w:p>
    <w:p w:rsidR="00FC6DC4" w:rsidRDefault="00FC6DC4">
      <w:pPr>
        <w:adjustRightInd w:val="0"/>
        <w:spacing w:line="360" w:lineRule="auto"/>
        <w:rPr>
          <w:rStyle w:val="af"/>
          <w:rFonts w:ascii="黑体" w:eastAsia="黑体" w:hAnsi="黑体"/>
          <w:bCs w:val="0"/>
          <w:sz w:val="28"/>
          <w:szCs w:val="28"/>
        </w:rPr>
      </w:pPr>
    </w:p>
    <w:p w:rsidR="00FC6DC4" w:rsidRDefault="00FC6DC4">
      <w:pPr>
        <w:adjustRightInd w:val="0"/>
        <w:spacing w:line="360" w:lineRule="auto"/>
        <w:jc w:val="center"/>
        <w:rPr>
          <w:rStyle w:val="af"/>
          <w:rFonts w:ascii="黑体" w:eastAsia="黑体" w:hAnsi="黑体"/>
          <w:bCs w:val="0"/>
          <w:sz w:val="28"/>
          <w:szCs w:val="28"/>
        </w:rPr>
      </w:pPr>
    </w:p>
    <w:p w:rsidR="00FC6DC4" w:rsidRDefault="00FC6DC4">
      <w:pPr>
        <w:adjustRightInd w:val="0"/>
        <w:spacing w:line="360" w:lineRule="auto"/>
        <w:jc w:val="center"/>
        <w:rPr>
          <w:rStyle w:val="af"/>
          <w:rFonts w:ascii="黑体" w:eastAsia="黑体" w:hAnsi="黑体"/>
          <w:bCs w:val="0"/>
          <w:sz w:val="28"/>
          <w:szCs w:val="28"/>
        </w:rPr>
      </w:pPr>
    </w:p>
    <w:p w:rsidR="00FC6DC4" w:rsidRDefault="00F86856">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理财产品管理人：兴银理财有限责任公司</w:t>
      </w:r>
    </w:p>
    <w:p w:rsidR="00FC6DC4" w:rsidRDefault="00FC6DC4">
      <w:pPr>
        <w:adjustRightInd w:val="0"/>
        <w:spacing w:line="360" w:lineRule="auto"/>
        <w:jc w:val="center"/>
        <w:rPr>
          <w:rStyle w:val="af"/>
          <w:rFonts w:ascii="宋体" w:hAnsi="宋体"/>
          <w:sz w:val="32"/>
          <w:szCs w:val="32"/>
        </w:rPr>
      </w:pPr>
    </w:p>
    <w:p w:rsidR="00FC6DC4" w:rsidRDefault="00FC6DC4">
      <w:pPr>
        <w:adjustRightInd w:val="0"/>
        <w:spacing w:line="360" w:lineRule="auto"/>
        <w:jc w:val="center"/>
        <w:rPr>
          <w:rStyle w:val="af"/>
          <w:rFonts w:ascii="宋体" w:hAnsi="宋体"/>
          <w:sz w:val="32"/>
          <w:szCs w:val="32"/>
        </w:rPr>
      </w:pPr>
    </w:p>
    <w:p w:rsidR="00FC6DC4" w:rsidRDefault="00F86856">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日期</w:t>
      </w:r>
      <w:r>
        <w:rPr>
          <w:rStyle w:val="af"/>
          <w:rFonts w:ascii="宋体" w:hAnsi="宋体" w:cs="Times New Roman"/>
          <w:sz w:val="32"/>
          <w:szCs w:val="32"/>
        </w:rPr>
        <w:t>：</w:t>
      </w:r>
      <w:r>
        <w:rPr>
          <w:rStyle w:val="af"/>
          <w:rFonts w:ascii="宋体" w:hAnsi="宋体" w:cs="Times New Roman" w:hint="eastAsia"/>
          <w:sz w:val="32"/>
          <w:szCs w:val="32"/>
        </w:rPr>
        <w:t>【2022】年【</w:t>
      </w:r>
      <w:r w:rsidR="004E578C">
        <w:rPr>
          <w:rStyle w:val="af"/>
          <w:rFonts w:ascii="宋体" w:hAnsi="宋体" w:cs="Times New Roman"/>
          <w:sz w:val="32"/>
          <w:szCs w:val="32"/>
        </w:rPr>
        <w:t>9</w:t>
      </w:r>
      <w:r>
        <w:rPr>
          <w:rStyle w:val="af"/>
          <w:rFonts w:ascii="宋体" w:hAnsi="宋体" w:cs="Times New Roman" w:hint="eastAsia"/>
          <w:sz w:val="32"/>
          <w:szCs w:val="32"/>
        </w:rPr>
        <w:t>】月</w:t>
      </w:r>
    </w:p>
    <w:p w:rsidR="00FC6DC4" w:rsidRDefault="00FC6DC4">
      <w:pPr>
        <w:adjustRightInd w:val="0"/>
        <w:spacing w:line="360" w:lineRule="auto"/>
        <w:jc w:val="center"/>
        <w:rPr>
          <w:rStyle w:val="af"/>
          <w:rFonts w:ascii="宋体" w:hAnsi="宋体"/>
          <w:sz w:val="32"/>
          <w:szCs w:val="32"/>
        </w:rPr>
      </w:pPr>
    </w:p>
    <w:p w:rsidR="00FC6DC4" w:rsidRDefault="00FC6DC4">
      <w:pPr>
        <w:pStyle w:val="Default"/>
        <w:spacing w:line="360" w:lineRule="auto"/>
        <w:rPr>
          <w:rFonts w:hAnsi="宋体"/>
          <w:sz w:val="28"/>
          <w:szCs w:val="28"/>
        </w:rPr>
        <w:sectPr w:rsidR="00FC6DC4">
          <w:headerReference w:type="default" r:id="rId26"/>
          <w:footerReference w:type="default" r:id="rId27"/>
          <w:footerReference w:type="first" r:id="rId28"/>
          <w:pgSz w:w="11906" w:h="16838"/>
          <w:pgMar w:top="1276" w:right="1800" w:bottom="1418" w:left="1800" w:header="567" w:footer="850" w:gutter="0"/>
          <w:cols w:space="425"/>
          <w:titlePg/>
          <w:docGrid w:type="lines" w:linePitch="312"/>
        </w:sectPr>
      </w:pP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FC6DC4" w:rsidRDefault="00F86856">
          <w:pPr>
            <w:pStyle w:val="TOC2"/>
            <w:spacing w:line="360" w:lineRule="auto"/>
            <w:jc w:val="center"/>
          </w:pPr>
          <w:r>
            <w:rPr>
              <w:lang w:val="zh-CN"/>
            </w:rPr>
            <w:t>目录</w:t>
          </w:r>
        </w:p>
        <w:p w:rsidR="00FC6DC4" w:rsidRDefault="00F86856">
          <w:pPr>
            <w:pStyle w:val="10"/>
            <w:tabs>
              <w:tab w:val="right" w:leader="dot" w:pos="8306"/>
            </w:tabs>
          </w:pPr>
          <w:r>
            <w:fldChar w:fldCharType="begin"/>
          </w:r>
          <w:r>
            <w:instrText xml:space="preserve"> TOC \o "1-3" \h \z \u </w:instrText>
          </w:r>
          <w:r>
            <w:fldChar w:fldCharType="separate"/>
          </w:r>
          <w:hyperlink w:anchor="_Toc9482" w:history="1">
            <w:r>
              <w:rPr>
                <w:rFonts w:ascii="Times New Roman"/>
              </w:rPr>
              <w:t>第</w:t>
            </w:r>
            <w:r>
              <w:rPr>
                <w:rFonts w:ascii="Times New Roman" w:hint="eastAsia"/>
              </w:rPr>
              <w:t>一条</w:t>
            </w:r>
            <w:r>
              <w:rPr>
                <w:rFonts w:ascii="Times New Roman" w:hint="eastAsia"/>
              </w:rPr>
              <w:t xml:space="preserve"> </w:t>
            </w:r>
            <w:r>
              <w:rPr>
                <w:rFonts w:ascii="Times New Roman"/>
              </w:rPr>
              <w:t xml:space="preserve"> </w:t>
            </w:r>
            <w:r>
              <w:rPr>
                <w:rFonts w:ascii="Times New Roman"/>
              </w:rPr>
              <w:t>释义</w:t>
            </w:r>
            <w:r>
              <w:tab/>
            </w:r>
            <w:r>
              <w:fldChar w:fldCharType="begin"/>
            </w:r>
            <w:r>
              <w:instrText xml:space="preserve"> PAGEREF _Toc9482 \h </w:instrText>
            </w:r>
            <w:r>
              <w:fldChar w:fldCharType="separate"/>
            </w:r>
            <w:r>
              <w:t>1</w:t>
            </w:r>
            <w:r>
              <w:fldChar w:fldCharType="end"/>
            </w:r>
          </w:hyperlink>
        </w:p>
        <w:p w:rsidR="00FC6DC4" w:rsidRDefault="00153EEC">
          <w:pPr>
            <w:pStyle w:val="10"/>
            <w:tabs>
              <w:tab w:val="right" w:leader="dot" w:pos="8306"/>
            </w:tabs>
          </w:pPr>
          <w:hyperlink w:anchor="_Toc23998" w:history="1">
            <w:r w:rsidR="00F86856">
              <w:rPr>
                <w:rFonts w:hAnsi="宋体" w:hint="eastAsia"/>
                <w:szCs w:val="28"/>
              </w:rPr>
              <w:t>第二条</w:t>
            </w:r>
            <w:r w:rsidR="00F86856">
              <w:rPr>
                <w:rFonts w:hAnsi="宋体" w:hint="eastAsia"/>
                <w:szCs w:val="28"/>
              </w:rPr>
              <w:t xml:space="preserve">  </w:t>
            </w:r>
            <w:r w:rsidR="00F86856">
              <w:rPr>
                <w:rFonts w:hAnsi="宋体" w:hint="eastAsia"/>
                <w:szCs w:val="28"/>
              </w:rPr>
              <w:t>理财产品基本情况</w:t>
            </w:r>
            <w:r w:rsidR="00F86856">
              <w:tab/>
            </w:r>
            <w:r w:rsidR="00F86856">
              <w:fldChar w:fldCharType="begin"/>
            </w:r>
            <w:r w:rsidR="00F86856">
              <w:instrText xml:space="preserve"> PAGEREF _Toc23998 \h </w:instrText>
            </w:r>
            <w:r w:rsidR="00F86856">
              <w:fldChar w:fldCharType="separate"/>
            </w:r>
            <w:r w:rsidR="00F86856">
              <w:t>6</w:t>
            </w:r>
            <w:r w:rsidR="00F86856">
              <w:fldChar w:fldCharType="end"/>
            </w:r>
          </w:hyperlink>
        </w:p>
        <w:p w:rsidR="00FC6DC4" w:rsidRDefault="00153EEC">
          <w:pPr>
            <w:pStyle w:val="10"/>
            <w:tabs>
              <w:tab w:val="right" w:leader="dot" w:pos="8306"/>
            </w:tabs>
          </w:pPr>
          <w:hyperlink w:anchor="_Toc15862" w:history="1">
            <w:r w:rsidR="00F86856">
              <w:rPr>
                <w:rFonts w:ascii="Times New Roman"/>
              </w:rPr>
              <w:t>第</w:t>
            </w:r>
            <w:r w:rsidR="00F86856">
              <w:rPr>
                <w:rFonts w:ascii="Times New Roman" w:hint="eastAsia"/>
              </w:rPr>
              <w:t>三条</w:t>
            </w:r>
            <w:r w:rsidR="00F86856">
              <w:rPr>
                <w:rFonts w:ascii="Times New Roman"/>
              </w:rPr>
              <w:t xml:space="preserve">  </w:t>
            </w:r>
            <w:r w:rsidR="00F86856">
              <w:rPr>
                <w:rFonts w:ascii="Times New Roman" w:hint="eastAsia"/>
              </w:rPr>
              <w:t>理财产品的认购</w:t>
            </w:r>
            <w:r w:rsidR="00F86856">
              <w:tab/>
            </w:r>
            <w:r w:rsidR="00F86856">
              <w:fldChar w:fldCharType="begin"/>
            </w:r>
            <w:r w:rsidR="00F86856">
              <w:instrText xml:space="preserve"> PAGEREF _Toc15862 \h </w:instrText>
            </w:r>
            <w:r w:rsidR="00F86856">
              <w:fldChar w:fldCharType="separate"/>
            </w:r>
            <w:r w:rsidR="00F86856">
              <w:t>13</w:t>
            </w:r>
            <w:r w:rsidR="00F86856">
              <w:fldChar w:fldCharType="end"/>
            </w:r>
          </w:hyperlink>
        </w:p>
        <w:p w:rsidR="00FC6DC4" w:rsidRDefault="00153EEC">
          <w:pPr>
            <w:pStyle w:val="10"/>
            <w:tabs>
              <w:tab w:val="right" w:leader="dot" w:pos="8306"/>
            </w:tabs>
          </w:pPr>
          <w:hyperlink w:anchor="_Toc28040" w:history="1">
            <w:r w:rsidR="00F86856">
              <w:rPr>
                <w:rFonts w:ascii="Times New Roman" w:hint="eastAsia"/>
              </w:rPr>
              <w:t>第四条</w:t>
            </w:r>
            <w:r w:rsidR="00F86856">
              <w:rPr>
                <w:rFonts w:ascii="Times New Roman" w:hint="eastAsia"/>
              </w:rPr>
              <w:t xml:space="preserve"> </w:t>
            </w:r>
            <w:r w:rsidR="00F86856">
              <w:rPr>
                <w:rFonts w:ascii="Times New Roman"/>
              </w:rPr>
              <w:t xml:space="preserve"> </w:t>
            </w:r>
            <w:r w:rsidR="00F86856">
              <w:rPr>
                <w:rFonts w:ascii="Times New Roman" w:hint="eastAsia"/>
              </w:rPr>
              <w:t>理财产品的申购与赎回</w:t>
            </w:r>
            <w:r w:rsidR="00F86856">
              <w:tab/>
            </w:r>
            <w:r w:rsidR="00F86856">
              <w:fldChar w:fldCharType="begin"/>
            </w:r>
            <w:r w:rsidR="00F86856">
              <w:instrText xml:space="preserve"> PAGEREF _Toc28040 \h </w:instrText>
            </w:r>
            <w:r w:rsidR="00F86856">
              <w:fldChar w:fldCharType="separate"/>
            </w:r>
            <w:r w:rsidR="00F86856">
              <w:t>15</w:t>
            </w:r>
            <w:r w:rsidR="00F86856">
              <w:fldChar w:fldCharType="end"/>
            </w:r>
          </w:hyperlink>
        </w:p>
        <w:p w:rsidR="00FC6DC4" w:rsidRDefault="00153EEC">
          <w:pPr>
            <w:pStyle w:val="10"/>
            <w:tabs>
              <w:tab w:val="right" w:leader="dot" w:pos="8306"/>
            </w:tabs>
          </w:pPr>
          <w:hyperlink w:anchor="_Toc24722" w:history="1">
            <w:r w:rsidR="00F86856">
              <w:rPr>
                <w:rFonts w:ascii="Times New Roman"/>
              </w:rPr>
              <w:t>第</w:t>
            </w:r>
            <w:r w:rsidR="00F86856">
              <w:rPr>
                <w:rFonts w:ascii="Times New Roman" w:hint="eastAsia"/>
              </w:rPr>
              <w:t>五条</w:t>
            </w:r>
            <w:r w:rsidR="00F86856">
              <w:rPr>
                <w:rFonts w:ascii="Times New Roman"/>
              </w:rPr>
              <w:t xml:space="preserve">  </w:t>
            </w:r>
            <w:r w:rsidR="00F86856">
              <w:rPr>
                <w:rFonts w:ascii="Times New Roman" w:hint="eastAsia"/>
              </w:rPr>
              <w:t>理财产品的投资</w:t>
            </w:r>
            <w:r w:rsidR="00F86856">
              <w:tab/>
            </w:r>
            <w:r w:rsidR="00F86856">
              <w:fldChar w:fldCharType="begin"/>
            </w:r>
            <w:r w:rsidR="00F86856">
              <w:instrText xml:space="preserve"> PAGEREF _Toc24722 \h </w:instrText>
            </w:r>
            <w:r w:rsidR="00F86856">
              <w:fldChar w:fldCharType="separate"/>
            </w:r>
            <w:r w:rsidR="00F86856">
              <w:t>19</w:t>
            </w:r>
            <w:r w:rsidR="00F86856">
              <w:fldChar w:fldCharType="end"/>
            </w:r>
          </w:hyperlink>
        </w:p>
        <w:p w:rsidR="00FC6DC4" w:rsidRDefault="00153EEC">
          <w:pPr>
            <w:pStyle w:val="10"/>
            <w:tabs>
              <w:tab w:val="right" w:leader="dot" w:pos="8306"/>
            </w:tabs>
          </w:pPr>
          <w:hyperlink w:anchor="_Toc27357" w:history="1">
            <w:r w:rsidR="00F86856">
              <w:rPr>
                <w:rFonts w:ascii="Times New Roman"/>
              </w:rPr>
              <w:t>第</w:t>
            </w:r>
            <w:r w:rsidR="00F86856">
              <w:rPr>
                <w:rFonts w:ascii="Times New Roman" w:hint="eastAsia"/>
              </w:rPr>
              <w:t>六条</w:t>
            </w:r>
            <w:r w:rsidR="00F86856">
              <w:rPr>
                <w:rFonts w:ascii="Times New Roman"/>
              </w:rPr>
              <w:t xml:space="preserve">  </w:t>
            </w:r>
            <w:r w:rsidR="00F86856">
              <w:rPr>
                <w:rFonts w:ascii="Times New Roman" w:hint="eastAsia"/>
              </w:rPr>
              <w:t>理财产品的资产</w:t>
            </w:r>
            <w:r w:rsidR="00F86856">
              <w:tab/>
            </w:r>
            <w:r w:rsidR="00F86856">
              <w:fldChar w:fldCharType="begin"/>
            </w:r>
            <w:r w:rsidR="00F86856">
              <w:instrText xml:space="preserve"> PAGEREF _Toc27357 \h </w:instrText>
            </w:r>
            <w:r w:rsidR="00F86856">
              <w:fldChar w:fldCharType="separate"/>
            </w:r>
            <w:r w:rsidR="00F86856">
              <w:t>23</w:t>
            </w:r>
            <w:r w:rsidR="00F86856">
              <w:fldChar w:fldCharType="end"/>
            </w:r>
          </w:hyperlink>
        </w:p>
        <w:p w:rsidR="00FC6DC4" w:rsidRDefault="00153EEC">
          <w:pPr>
            <w:pStyle w:val="10"/>
            <w:tabs>
              <w:tab w:val="right" w:leader="dot" w:pos="8306"/>
            </w:tabs>
          </w:pPr>
          <w:hyperlink w:anchor="_Toc10162" w:history="1">
            <w:r w:rsidR="00F86856">
              <w:rPr>
                <w:rFonts w:ascii="Times New Roman" w:hint="eastAsia"/>
                <w:szCs w:val="28"/>
              </w:rPr>
              <w:t>第七条</w:t>
            </w:r>
            <w:r w:rsidR="00F86856">
              <w:rPr>
                <w:rFonts w:ascii="Times New Roman"/>
                <w:szCs w:val="28"/>
              </w:rPr>
              <w:t xml:space="preserve">  </w:t>
            </w:r>
            <w:r w:rsidR="00F86856">
              <w:rPr>
                <w:rFonts w:ascii="Times New Roman" w:hint="eastAsia"/>
                <w:szCs w:val="28"/>
              </w:rPr>
              <w:t>理财产品项下资产的估值</w:t>
            </w:r>
            <w:r w:rsidR="00F86856">
              <w:tab/>
            </w:r>
            <w:r w:rsidR="00F86856">
              <w:fldChar w:fldCharType="begin"/>
            </w:r>
            <w:r w:rsidR="00F86856">
              <w:instrText xml:space="preserve"> PAGEREF _Toc10162 \h </w:instrText>
            </w:r>
            <w:r w:rsidR="00F86856">
              <w:fldChar w:fldCharType="separate"/>
            </w:r>
            <w:r w:rsidR="00F86856">
              <w:t>24</w:t>
            </w:r>
            <w:r w:rsidR="00F86856">
              <w:fldChar w:fldCharType="end"/>
            </w:r>
          </w:hyperlink>
        </w:p>
        <w:p w:rsidR="00FC6DC4" w:rsidRDefault="00153EEC">
          <w:pPr>
            <w:pStyle w:val="10"/>
            <w:tabs>
              <w:tab w:val="right" w:leader="dot" w:pos="8306"/>
            </w:tabs>
          </w:pPr>
          <w:hyperlink w:anchor="_Toc3138" w:history="1">
            <w:r w:rsidR="00F86856">
              <w:rPr>
                <w:rFonts w:ascii="Times New Roman"/>
              </w:rPr>
              <w:t>第</w:t>
            </w:r>
            <w:r w:rsidR="00F86856">
              <w:rPr>
                <w:rFonts w:ascii="Times New Roman" w:hint="eastAsia"/>
              </w:rPr>
              <w:t>八条</w:t>
            </w:r>
            <w:r w:rsidR="00F86856">
              <w:rPr>
                <w:rFonts w:ascii="Times New Roman"/>
              </w:rPr>
              <w:t xml:space="preserve">  </w:t>
            </w:r>
            <w:r w:rsidR="00F86856">
              <w:rPr>
                <w:rFonts w:ascii="Times New Roman" w:hint="eastAsia"/>
              </w:rPr>
              <w:t>理财产品的利益分配</w:t>
            </w:r>
            <w:r w:rsidR="00F86856">
              <w:tab/>
            </w:r>
            <w:r w:rsidR="00F86856">
              <w:fldChar w:fldCharType="begin"/>
            </w:r>
            <w:r w:rsidR="00F86856">
              <w:instrText xml:space="preserve"> PAGEREF _Toc3138 \h </w:instrText>
            </w:r>
            <w:r w:rsidR="00F86856">
              <w:fldChar w:fldCharType="separate"/>
            </w:r>
            <w:r w:rsidR="00F86856">
              <w:t>28</w:t>
            </w:r>
            <w:r w:rsidR="00F86856">
              <w:fldChar w:fldCharType="end"/>
            </w:r>
          </w:hyperlink>
        </w:p>
        <w:p w:rsidR="00FC6DC4" w:rsidRDefault="00153EEC">
          <w:pPr>
            <w:pStyle w:val="10"/>
            <w:tabs>
              <w:tab w:val="right" w:leader="dot" w:pos="8306"/>
            </w:tabs>
          </w:pPr>
          <w:hyperlink w:anchor="_Toc17110" w:history="1">
            <w:r w:rsidR="00F86856">
              <w:rPr>
                <w:rFonts w:ascii="Times New Roman"/>
              </w:rPr>
              <w:t>第</w:t>
            </w:r>
            <w:r w:rsidR="00F86856">
              <w:rPr>
                <w:rFonts w:ascii="Times New Roman" w:hint="eastAsia"/>
              </w:rPr>
              <w:t>九条</w:t>
            </w:r>
            <w:r w:rsidR="00F86856">
              <w:rPr>
                <w:rFonts w:ascii="Times New Roman"/>
              </w:rPr>
              <w:t xml:space="preserve">  </w:t>
            </w:r>
            <w:r w:rsidR="00F86856">
              <w:rPr>
                <w:rFonts w:ascii="Times New Roman" w:hint="eastAsia"/>
              </w:rPr>
              <w:t>理财产品的费用与税收</w:t>
            </w:r>
            <w:r w:rsidR="00F86856">
              <w:tab/>
            </w:r>
            <w:r w:rsidR="00F86856">
              <w:fldChar w:fldCharType="begin"/>
            </w:r>
            <w:r w:rsidR="00F86856">
              <w:instrText xml:space="preserve"> PAGEREF _Toc17110 \h </w:instrText>
            </w:r>
            <w:r w:rsidR="00F86856">
              <w:fldChar w:fldCharType="separate"/>
            </w:r>
            <w:r w:rsidR="00F86856">
              <w:t>29</w:t>
            </w:r>
            <w:r w:rsidR="00F86856">
              <w:fldChar w:fldCharType="end"/>
            </w:r>
          </w:hyperlink>
        </w:p>
        <w:p w:rsidR="00FC6DC4" w:rsidRDefault="00153EEC">
          <w:pPr>
            <w:pStyle w:val="10"/>
            <w:tabs>
              <w:tab w:val="right" w:leader="dot" w:pos="8306"/>
            </w:tabs>
          </w:pPr>
          <w:hyperlink w:anchor="_Toc4606" w:history="1">
            <w:r w:rsidR="00F86856">
              <w:rPr>
                <w:rFonts w:hint="eastAsia"/>
              </w:rPr>
              <w:t>第十条</w:t>
            </w:r>
            <w:r w:rsidR="00F86856">
              <w:t xml:space="preserve">  </w:t>
            </w:r>
            <w:r w:rsidR="00F86856">
              <w:rPr>
                <w:rFonts w:hint="eastAsia"/>
              </w:rPr>
              <w:t>理财产品的终止与清算</w:t>
            </w:r>
            <w:r w:rsidR="00F86856">
              <w:tab/>
            </w:r>
            <w:r w:rsidR="00F86856">
              <w:fldChar w:fldCharType="begin"/>
            </w:r>
            <w:r w:rsidR="00F86856">
              <w:instrText xml:space="preserve"> PAGEREF _Toc4606 \h </w:instrText>
            </w:r>
            <w:r w:rsidR="00F86856">
              <w:fldChar w:fldCharType="separate"/>
            </w:r>
            <w:r w:rsidR="00F86856">
              <w:t>32</w:t>
            </w:r>
            <w:r w:rsidR="00F86856">
              <w:fldChar w:fldCharType="end"/>
            </w:r>
          </w:hyperlink>
        </w:p>
        <w:p w:rsidR="00FC6DC4" w:rsidRDefault="00153EEC">
          <w:pPr>
            <w:pStyle w:val="10"/>
            <w:tabs>
              <w:tab w:val="right" w:leader="dot" w:pos="8306"/>
            </w:tabs>
          </w:pPr>
          <w:hyperlink w:anchor="_Toc11469" w:history="1">
            <w:r w:rsidR="00F86856">
              <w:rPr>
                <w:rFonts w:ascii="Times New Roman" w:hint="eastAsia"/>
                <w:szCs w:val="28"/>
              </w:rPr>
              <w:t>第十一条</w:t>
            </w:r>
            <w:r w:rsidR="00F86856">
              <w:rPr>
                <w:rFonts w:ascii="Times New Roman"/>
                <w:szCs w:val="28"/>
              </w:rPr>
              <w:t xml:space="preserve">  </w:t>
            </w:r>
            <w:r w:rsidR="00F86856">
              <w:rPr>
                <w:rFonts w:ascii="Times New Roman" w:hint="eastAsia"/>
                <w:szCs w:val="28"/>
              </w:rPr>
              <w:t>理财产品的信息披露</w:t>
            </w:r>
            <w:r w:rsidR="00F86856">
              <w:tab/>
            </w:r>
            <w:r w:rsidR="00F86856">
              <w:fldChar w:fldCharType="begin"/>
            </w:r>
            <w:r w:rsidR="00F86856">
              <w:instrText xml:space="preserve"> PAGEREF _Toc11469 \h </w:instrText>
            </w:r>
            <w:r w:rsidR="00F86856">
              <w:fldChar w:fldCharType="separate"/>
            </w:r>
            <w:r w:rsidR="00F86856">
              <w:t>34</w:t>
            </w:r>
            <w:r w:rsidR="00F86856">
              <w:fldChar w:fldCharType="end"/>
            </w:r>
          </w:hyperlink>
        </w:p>
        <w:p w:rsidR="00FC6DC4" w:rsidRDefault="00153EEC">
          <w:pPr>
            <w:pStyle w:val="10"/>
            <w:tabs>
              <w:tab w:val="right" w:leader="dot" w:pos="8306"/>
            </w:tabs>
          </w:pPr>
          <w:hyperlink w:anchor="_Toc24766" w:history="1">
            <w:r w:rsidR="00F86856">
              <w:rPr>
                <w:rFonts w:ascii="Times New Roman" w:hint="eastAsia"/>
              </w:rPr>
              <w:t>第十二条</w:t>
            </w:r>
            <w:r w:rsidR="00F86856">
              <w:rPr>
                <w:rFonts w:ascii="Times New Roman"/>
              </w:rPr>
              <w:t xml:space="preserve">  </w:t>
            </w:r>
            <w:r w:rsidR="00F86856">
              <w:rPr>
                <w:rFonts w:ascii="Times New Roman" w:hint="eastAsia"/>
              </w:rPr>
              <w:t>理财产品</w:t>
            </w:r>
            <w:r w:rsidR="00F86856">
              <w:rPr>
                <w:rFonts w:ascii="Times New Roman"/>
              </w:rPr>
              <w:t>的风险揭示</w:t>
            </w:r>
            <w:r w:rsidR="00F86856">
              <w:tab/>
            </w:r>
            <w:r w:rsidR="00F86856">
              <w:fldChar w:fldCharType="begin"/>
            </w:r>
            <w:r w:rsidR="00F86856">
              <w:instrText xml:space="preserve"> PAGEREF _Toc24766 \h </w:instrText>
            </w:r>
            <w:r w:rsidR="00F86856">
              <w:fldChar w:fldCharType="separate"/>
            </w:r>
            <w:r w:rsidR="00F86856">
              <w:t>37</w:t>
            </w:r>
            <w:r w:rsidR="00F86856">
              <w:fldChar w:fldCharType="end"/>
            </w:r>
          </w:hyperlink>
        </w:p>
        <w:p w:rsidR="00FC6DC4" w:rsidRDefault="00F86856">
          <w:pPr>
            <w:spacing w:line="360" w:lineRule="auto"/>
          </w:pPr>
          <w:r>
            <w:fldChar w:fldCharType="end"/>
          </w:r>
        </w:p>
      </w:sdtContent>
    </w:sdt>
    <w:p w:rsidR="00FC6DC4" w:rsidRDefault="00FC6DC4">
      <w:pPr>
        <w:widowControl/>
        <w:spacing w:line="360" w:lineRule="auto"/>
        <w:jc w:val="left"/>
        <w:rPr>
          <w:rFonts w:ascii="Times New Roman"/>
          <w:sz w:val="30"/>
        </w:rPr>
      </w:pPr>
    </w:p>
    <w:p w:rsidR="00FC6DC4" w:rsidRDefault="00FC6DC4">
      <w:pPr>
        <w:widowControl/>
        <w:spacing w:line="360" w:lineRule="auto"/>
        <w:jc w:val="left"/>
        <w:rPr>
          <w:rFonts w:ascii="Times New Roman"/>
          <w:sz w:val="30"/>
        </w:rPr>
        <w:sectPr w:rsidR="00FC6DC4">
          <w:footerReference w:type="default" r:id="rId29"/>
          <w:pgSz w:w="11906" w:h="16838"/>
          <w:pgMar w:top="1276" w:right="1800" w:bottom="1418" w:left="1800" w:header="567" w:footer="850" w:gutter="0"/>
          <w:cols w:space="425"/>
          <w:docGrid w:type="lines" w:linePitch="312"/>
        </w:sectPr>
      </w:pPr>
    </w:p>
    <w:p w:rsidR="00FC6DC4" w:rsidRDefault="00F86856">
      <w:pPr>
        <w:pStyle w:val="1"/>
        <w:spacing w:before="0" w:after="0" w:line="360" w:lineRule="auto"/>
        <w:jc w:val="center"/>
        <w:rPr>
          <w:rFonts w:ascii="Times New Roman"/>
          <w:sz w:val="30"/>
        </w:rPr>
      </w:pPr>
      <w:bookmarkStart w:id="1" w:name="_Toc92377130"/>
      <w:bookmarkStart w:id="2" w:name="_Toc9482"/>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bookmarkEnd w:id="2"/>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w:t>
      </w:r>
      <w:proofErr w:type="gramStart"/>
      <w:r>
        <w:rPr>
          <w:rFonts w:ascii="黑体" w:eastAsia="黑体" w:hAnsi="黑体" w:hint="eastAsia"/>
          <w:bCs/>
          <w:color w:val="auto"/>
          <w:sz w:val="18"/>
          <w:szCs w:val="18"/>
        </w:rPr>
        <w:t>指兴银</w:t>
      </w:r>
      <w:proofErr w:type="gramEnd"/>
      <w:r>
        <w:rPr>
          <w:rFonts w:ascii="黑体" w:eastAsia="黑体" w:hAnsi="黑体" w:hint="eastAsia"/>
          <w:bCs/>
          <w:color w:val="auto"/>
          <w:sz w:val="18"/>
          <w:szCs w:val="18"/>
        </w:rPr>
        <w:t>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w:t>
      </w:r>
      <w:proofErr w:type="gramStart"/>
      <w:r>
        <w:rPr>
          <w:rFonts w:asciiTheme="majorEastAsia" w:eastAsiaTheme="majorEastAsia" w:hAnsiTheme="majorEastAsia" w:hint="eastAsia"/>
          <w:bCs/>
          <w:color w:val="auto"/>
          <w:sz w:val="18"/>
          <w:szCs w:val="18"/>
        </w:rPr>
        <w:t>见产品</w:t>
      </w:r>
      <w:proofErr w:type="gramEnd"/>
      <w:r>
        <w:rPr>
          <w:rFonts w:asciiTheme="majorEastAsia" w:eastAsiaTheme="majorEastAsia" w:hAnsiTheme="majorEastAsia" w:hint="eastAsia"/>
          <w:bCs/>
          <w:color w:val="auto"/>
          <w:sz w:val="18"/>
          <w:szCs w:val="18"/>
        </w:rPr>
        <w:t>管理人届时发布的相关公告及相关《（代理）销售协议书》中的约定。</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w:t>
      </w:r>
      <w:proofErr w:type="gramStart"/>
      <w:r>
        <w:rPr>
          <w:rFonts w:asciiTheme="majorEastAsia" w:eastAsiaTheme="majorEastAsia" w:hAnsiTheme="majorEastAsia" w:hint="eastAsia"/>
          <w:bCs/>
          <w:color w:val="auto"/>
          <w:sz w:val="18"/>
          <w:szCs w:val="18"/>
        </w:rPr>
        <w:t>电子化报告</w:t>
      </w:r>
      <w:proofErr w:type="gramEnd"/>
      <w:r>
        <w:rPr>
          <w:rFonts w:asciiTheme="majorEastAsia" w:eastAsiaTheme="majorEastAsia" w:hAnsiTheme="majorEastAsia" w:hint="eastAsia"/>
          <w:bCs/>
          <w:color w:val="auto"/>
          <w:sz w:val="18"/>
          <w:szCs w:val="18"/>
        </w:rPr>
        <w:t>和信息登记的电子信息系统。</w:t>
      </w:r>
    </w:p>
    <w:p w:rsidR="00FC6DC4" w:rsidRDefault="00F86856">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《投资协议书》：指管理人统一编制的《兴银理财天天万利宝稳利净值型理财产品投资协议书》，以及对该文件的有效修改或补充。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）《产品说明书》：指管理人统一编制的《兴银理财天天万利宝稳利净值型理财产品产品说明书》，以及对该文件的有效修改或补充。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（4）《（代理）销售协议书》：指管理人统一编制的《【兴银理财天天万利宝稳利净值型理财产品（代理）销售协议书》或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的《兴银理财天天万利宝稳利净值型理财产品（代理）销售协议书》（文件名称以代理销售机构实际编制为准），以及对该文件的有效修改或补充。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）《风险揭示书》：指管理人统一编制的《兴银理财天天万利宝稳利净值型理财产品风险揭示书》或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的《兴银理财天天万利宝稳利净值型理财产品风险揭示书》（文件名称以代理销售机构实际编制为准），以及对该文件的有效修改或补充。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）《投资者权益须知》：指管理人统一编制的《兴银理财天天万利宝稳利净值型理财产品投资者权益须知》或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《兴银理财天天万利宝稳利净值型理财产品投资者权益须知》（文件名称以代理销售机构实际编制为准），以及对该文件的有效修改或补充。</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w:t>
      </w:r>
      <w:proofErr w:type="gramStart"/>
      <w:r>
        <w:rPr>
          <w:rFonts w:asciiTheme="majorEastAsia" w:eastAsiaTheme="majorEastAsia" w:hAnsiTheme="majorEastAsia"/>
          <w:bCs/>
          <w:color w:val="auto"/>
          <w:sz w:val="18"/>
          <w:szCs w:val="18"/>
        </w:rPr>
        <w:t>和</w:t>
      </w:r>
      <w:proofErr w:type="gramEnd"/>
      <w:r>
        <w:rPr>
          <w:rFonts w:asciiTheme="majorEastAsia" w:eastAsiaTheme="majorEastAsia" w:hAnsiTheme="majorEastAsia"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FC6DC4" w:rsidRDefault="00F86856">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FC6DC4" w:rsidRDefault="00F86856">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指理财产品成立后，投资者申请购买理财产品份额的行为。</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指理财产品成立后，投资者申请赎回理财产品份额的行为，即投资者申请将理财产品份</w:t>
      </w:r>
      <w:r>
        <w:rPr>
          <w:rFonts w:asciiTheme="minorEastAsia" w:eastAsiaTheme="minorEastAsia" w:hAnsiTheme="minorEastAsia" w:hint="eastAsia"/>
          <w:color w:val="auto"/>
          <w:sz w:val="18"/>
          <w:szCs w:val="18"/>
        </w:rPr>
        <w:lastRenderedPageBreak/>
        <w:t>额兑换为现金。</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指投资者在一段特定期间内通过预约的方式提交申购申请，该申请在申购日内自动转化为正式的申购申请。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FC6DC4" w:rsidRDefault="00F86856">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指投资者在一段特定期间内通过预约的方式提交赎回申请，该申请在赎回日内自动转化为正式的赎回申请。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w:t>
      </w:r>
      <w:proofErr w:type="gramStart"/>
      <w:r>
        <w:rPr>
          <w:rFonts w:asciiTheme="majorEastAsia" w:eastAsiaTheme="majorEastAsia" w:hAnsiTheme="majorEastAsia" w:hint="eastAsia"/>
          <w:bCs/>
          <w:color w:val="auto"/>
          <w:sz w:val="18"/>
          <w:szCs w:val="18"/>
        </w:rPr>
        <w:t>申请总</w:t>
      </w:r>
      <w:proofErr w:type="gramEnd"/>
      <w:r>
        <w:rPr>
          <w:rFonts w:asciiTheme="majorEastAsia" w:eastAsiaTheme="majorEastAsia" w:hAnsiTheme="majorEastAsia" w:hint="eastAsia"/>
          <w:bCs/>
          <w:color w:val="auto"/>
          <w:sz w:val="18"/>
          <w:szCs w:val="18"/>
        </w:rPr>
        <w:t>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下同）之和达到赎回日上一日产品总份额的约定的百分比，为巨额赎回。</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（24）流动性受限资产：是指由于法律法规、监管、合同或操作障碍等原因无法以合理价格予以变现的资产，包括到期日在10个交易日以上的逆回购与银行定期存款（</w:t>
      </w:r>
      <w:proofErr w:type="gramStart"/>
      <w:r>
        <w:rPr>
          <w:rFonts w:asciiTheme="majorEastAsia" w:eastAsiaTheme="majorEastAsia" w:hAnsiTheme="majorEastAsia" w:hint="eastAsia"/>
          <w:bCs/>
          <w:color w:val="auto"/>
          <w:sz w:val="18"/>
          <w:szCs w:val="18"/>
        </w:rPr>
        <w:t>含协议</w:t>
      </w:r>
      <w:proofErr w:type="gramEnd"/>
      <w:r>
        <w:rPr>
          <w:rFonts w:asciiTheme="majorEastAsia" w:eastAsiaTheme="majorEastAsia" w:hAnsiTheme="majorEastAsia" w:hint="eastAsia"/>
          <w:bCs/>
          <w:color w:val="auto"/>
          <w:sz w:val="18"/>
          <w:szCs w:val="18"/>
        </w:rPr>
        <w:t>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proofErr w:type="gramStart"/>
      <w:r>
        <w:rPr>
          <w:rFonts w:hAnsi="宋体"/>
          <w:color w:val="auto"/>
          <w:sz w:val="18"/>
          <w:szCs w:val="18"/>
        </w:rPr>
        <w:t>终</w:t>
      </w:r>
      <w:r>
        <w:rPr>
          <w:rFonts w:hAnsi="宋体" w:hint="eastAsia"/>
          <w:color w:val="auto"/>
          <w:sz w:val="18"/>
          <w:szCs w:val="18"/>
        </w:rPr>
        <w:t>产品</w:t>
      </w:r>
      <w:proofErr w:type="gramEnd"/>
      <w:r>
        <w:rPr>
          <w:rFonts w:hAnsi="宋体" w:hint="eastAsia"/>
          <w:color w:val="auto"/>
          <w:sz w:val="18"/>
          <w:szCs w:val="18"/>
        </w:rPr>
        <w:t>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FC6DC4" w:rsidRDefault="00F86856">
      <w:pPr>
        <w:pStyle w:val="Default"/>
        <w:spacing w:line="360" w:lineRule="auto"/>
        <w:ind w:firstLineChars="200" w:firstLine="360"/>
        <w:rPr>
          <w:rFonts w:hAnsi="宋体"/>
          <w:bCs/>
          <w:color w:val="auto"/>
          <w:sz w:val="18"/>
          <w:szCs w:val="18"/>
        </w:rPr>
      </w:pPr>
      <w:r>
        <w:rPr>
          <w:rFonts w:hAnsi="宋体" w:hint="eastAsia"/>
          <w:bCs/>
          <w:color w:val="auto"/>
          <w:sz w:val="18"/>
          <w:szCs w:val="18"/>
        </w:rPr>
        <w:lastRenderedPageBreak/>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FC6DC4" w:rsidRDefault="00F86856">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）★最短持有期:指自产品成立日/申购确认日起，投资者持有的产品份额被锁定持有的</w:t>
      </w:r>
      <w:proofErr w:type="gramStart"/>
      <w:r>
        <w:rPr>
          <w:rFonts w:asciiTheme="majorEastAsia" w:eastAsiaTheme="majorEastAsia" w:hAnsiTheme="majorEastAsia" w:hint="eastAsia"/>
          <w:bCs/>
          <w:color w:val="auto"/>
          <w:sz w:val="18"/>
          <w:szCs w:val="18"/>
        </w:rPr>
        <w:t>最</w:t>
      </w:r>
      <w:proofErr w:type="gramEnd"/>
      <w:r>
        <w:rPr>
          <w:rFonts w:asciiTheme="majorEastAsia" w:eastAsiaTheme="majorEastAsia" w:hAnsiTheme="majorEastAsia" w:hint="eastAsia"/>
          <w:bCs/>
          <w:color w:val="auto"/>
          <w:sz w:val="18"/>
          <w:szCs w:val="18"/>
        </w:rPr>
        <w:t>短期间。在最短持有期内，投资者不能赎回该产品份额，最短持有期满后，投资者可以赎回该产品份额。</w:t>
      </w:r>
    </w:p>
    <w:p w:rsidR="00FC6DC4" w:rsidRDefault="00F86856">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）产品存续期：指自理财产品成立日起，至理财产品终止日的期间。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15）</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w:t>
      </w:r>
      <w:r>
        <w:rPr>
          <w:rFonts w:asciiTheme="majorEastAsia" w:eastAsiaTheme="majorEastAsia" w:hAnsiTheme="majorEastAsia" w:hint="eastAsia"/>
          <w:bCs/>
          <w:color w:val="auto"/>
          <w:sz w:val="18"/>
          <w:szCs w:val="18"/>
        </w:rPr>
        <w:t>）清算期：指自本理财产品终止日至投资者理财利益到账日之间的期间。</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FC6DC4" w:rsidRDefault="00F86856">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FC6DC4" w:rsidRDefault="00F86856">
      <w:pPr>
        <w:widowControl/>
        <w:spacing w:line="360" w:lineRule="auto"/>
        <w:jc w:val="left"/>
        <w:rPr>
          <w:rFonts w:ascii="宋体" w:hAnsi="宋体"/>
          <w:color w:val="000000"/>
          <w:kern w:val="0"/>
          <w:sz w:val="28"/>
          <w:szCs w:val="28"/>
        </w:rPr>
      </w:pPr>
      <w:r>
        <w:rPr>
          <w:rFonts w:hAnsi="宋体"/>
          <w:sz w:val="28"/>
          <w:szCs w:val="28"/>
        </w:rPr>
        <w:br w:type="page"/>
      </w:r>
    </w:p>
    <w:p w:rsidR="00FC6DC4" w:rsidRDefault="00F86856">
      <w:pPr>
        <w:pStyle w:val="1"/>
        <w:spacing w:before="0" w:after="0" w:line="360" w:lineRule="auto"/>
        <w:jc w:val="center"/>
        <w:rPr>
          <w:rFonts w:hAnsi="宋体"/>
          <w:sz w:val="28"/>
          <w:szCs w:val="28"/>
        </w:rPr>
      </w:pPr>
      <w:bookmarkStart w:id="3" w:name="_Toc23998"/>
      <w:bookmarkStart w:id="4" w:name="_Toc92377131"/>
      <w:bookmarkStart w:id="5" w:name="_Toc79154665"/>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bookmarkEnd w:id="4"/>
      <w:bookmarkEnd w:id="5"/>
      <w:r>
        <w:rPr>
          <w:rFonts w:hAnsi="宋体" w:hint="eastAsia"/>
          <w:sz w:val="28"/>
          <w:szCs w:val="28"/>
        </w:rPr>
        <w:t xml:space="preserve"> </w:t>
      </w:r>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4E578C">
        <w:trPr>
          <w:trHeight w:val="401"/>
          <w:jc w:val="center"/>
        </w:trPr>
        <w:tc>
          <w:tcPr>
            <w:tcW w:w="1945" w:type="dxa"/>
            <w:shd w:val="solid" w:color="FFFFFF" w:fill="FFFFFF"/>
          </w:tcPr>
          <w:p w:rsidR="004E578C" w:rsidRDefault="004E578C" w:rsidP="004E578C">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4E578C" w:rsidRDefault="004E578C" w:rsidP="004E578C">
            <w:pPr>
              <w:spacing w:line="360" w:lineRule="auto"/>
              <w:jc w:val="left"/>
              <w:rPr>
                <w:rFonts w:ascii="宋体" w:hAnsi="宋体"/>
                <w:bCs/>
                <w:sz w:val="18"/>
                <w:szCs w:val="18"/>
              </w:rPr>
            </w:pPr>
            <w:r w:rsidRPr="00B41BD4">
              <w:rPr>
                <w:rFonts w:ascii="宋体" w:hAnsi="宋体" w:hint="eastAsia"/>
                <w:bCs/>
                <w:sz w:val="18"/>
                <w:szCs w:val="18"/>
              </w:rPr>
              <w:t>兴业银行天天万利</w:t>
            </w:r>
            <w:proofErr w:type="gramStart"/>
            <w:r w:rsidRPr="00B41BD4">
              <w:rPr>
                <w:rFonts w:ascii="宋体" w:hAnsi="宋体" w:hint="eastAsia"/>
                <w:bCs/>
                <w:sz w:val="18"/>
                <w:szCs w:val="18"/>
              </w:rPr>
              <w:t>宝稳利</w:t>
            </w:r>
            <w:proofErr w:type="gramEnd"/>
            <w:r w:rsidRPr="00B41BD4">
              <w:rPr>
                <w:rFonts w:ascii="宋体" w:hAnsi="宋体" w:hint="eastAsia"/>
                <w:bCs/>
                <w:sz w:val="18"/>
                <w:szCs w:val="18"/>
              </w:rPr>
              <w:t>2号净值型理财产品D款</w:t>
            </w:r>
          </w:p>
        </w:tc>
      </w:tr>
      <w:tr w:rsidR="004E578C">
        <w:trPr>
          <w:trHeight w:val="383"/>
          <w:jc w:val="center"/>
        </w:trPr>
        <w:tc>
          <w:tcPr>
            <w:tcW w:w="1945" w:type="dxa"/>
            <w:shd w:val="solid" w:color="FFFFFF" w:fill="FFFFFF"/>
          </w:tcPr>
          <w:p w:rsidR="004E578C" w:rsidRDefault="004E578C" w:rsidP="004E578C">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vAlign w:val="center"/>
          </w:tcPr>
          <w:p w:rsidR="004E578C" w:rsidRDefault="004E578C" w:rsidP="004E578C">
            <w:pPr>
              <w:spacing w:line="360" w:lineRule="auto"/>
              <w:jc w:val="left"/>
              <w:rPr>
                <w:rFonts w:ascii="宋体" w:hAnsi="宋体"/>
                <w:kern w:val="0"/>
                <w:sz w:val="22"/>
              </w:rPr>
            </w:pPr>
            <w:r>
              <w:rPr>
                <w:rFonts w:ascii="宋体" w:hAnsi="宋体" w:hint="eastAsia"/>
                <w:bCs/>
                <w:sz w:val="18"/>
                <w:szCs w:val="18"/>
              </w:rPr>
              <w:t>【</w:t>
            </w:r>
            <w:r w:rsidRPr="00C72E7B">
              <w:rPr>
                <w:rFonts w:ascii="宋体" w:hAnsi="宋体" w:hint="eastAsia"/>
                <w:bCs/>
                <w:sz w:val="18"/>
                <w:szCs w:val="18"/>
              </w:rPr>
              <w:t>稳利恒盈</w:t>
            </w:r>
            <w:r>
              <w:rPr>
                <w:rFonts w:ascii="宋体" w:hAnsi="宋体"/>
                <w:bCs/>
                <w:sz w:val="18"/>
                <w:szCs w:val="18"/>
              </w:rPr>
              <w:t>D</w:t>
            </w:r>
            <w:r w:rsidRPr="00C72E7B">
              <w:rPr>
                <w:rFonts w:ascii="宋体" w:hAnsi="宋体" w:hint="eastAsia"/>
                <w:bCs/>
                <w:sz w:val="18"/>
                <w:szCs w:val="18"/>
              </w:rPr>
              <w:t xml:space="preserve"> 6个月</w:t>
            </w:r>
            <w:r>
              <w:rPr>
                <w:rFonts w:ascii="宋体" w:hAnsi="宋体" w:hint="eastAsia"/>
                <w:bCs/>
                <w:sz w:val="18"/>
                <w:szCs w:val="18"/>
              </w:rPr>
              <w:t>】</w:t>
            </w:r>
          </w:p>
        </w:tc>
      </w:tr>
      <w:tr w:rsidR="004E578C">
        <w:trPr>
          <w:trHeight w:val="251"/>
          <w:jc w:val="center"/>
        </w:trPr>
        <w:tc>
          <w:tcPr>
            <w:tcW w:w="1945" w:type="dxa"/>
            <w:shd w:val="solid" w:color="FFFFFF" w:fill="FFFFFF"/>
          </w:tcPr>
          <w:p w:rsidR="004E578C" w:rsidRDefault="004E578C" w:rsidP="004E578C">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4E578C" w:rsidRDefault="004E578C" w:rsidP="004E578C">
            <w:pPr>
              <w:spacing w:line="360" w:lineRule="auto"/>
              <w:jc w:val="left"/>
              <w:rPr>
                <w:rFonts w:ascii="宋体" w:hAnsi="宋体"/>
                <w:b/>
                <w:sz w:val="18"/>
                <w:szCs w:val="18"/>
              </w:rPr>
            </w:pPr>
            <w:r>
              <w:rPr>
                <w:rFonts w:ascii="宋体" w:hAnsi="宋体" w:hint="eastAsia"/>
                <w:bCs/>
                <w:sz w:val="18"/>
                <w:szCs w:val="18"/>
              </w:rPr>
              <w:t>【</w:t>
            </w:r>
            <w:r w:rsidRPr="008D5E1E">
              <w:rPr>
                <w:rFonts w:ascii="宋体" w:hAnsi="宋体"/>
                <w:bCs/>
                <w:sz w:val="18"/>
                <w:szCs w:val="18"/>
              </w:rPr>
              <w:t>Z7002020000021</w:t>
            </w:r>
            <w:r>
              <w:rPr>
                <w:rFonts w:ascii="宋体" w:hAnsi="宋体" w:hint="eastAsia"/>
                <w:bCs/>
                <w:sz w:val="18"/>
                <w:szCs w:val="18"/>
              </w:rPr>
              <w:t>】注：投资者可依据理财产品登记编码在中国</w:t>
            </w:r>
            <w:proofErr w:type="gramStart"/>
            <w:r>
              <w:rPr>
                <w:rFonts w:ascii="宋体" w:hAnsi="宋体" w:hint="eastAsia"/>
                <w:bCs/>
                <w:sz w:val="18"/>
                <w:szCs w:val="18"/>
              </w:rPr>
              <w:t>理财网</w:t>
            </w:r>
            <w:proofErr w:type="gramEnd"/>
            <w:r>
              <w:rPr>
                <w:rFonts w:ascii="宋体" w:hAnsi="宋体" w:hint="eastAsia"/>
                <w:bCs/>
                <w:sz w:val="18"/>
                <w:szCs w:val="18"/>
              </w:rPr>
              <w:t>查询产品信息</w:t>
            </w:r>
            <w:hyperlink r:id="rId30" w:history="1">
              <w:r>
                <w:rPr>
                  <w:rFonts w:ascii="宋体" w:hAnsi="宋体"/>
                  <w:bCs/>
                  <w:sz w:val="18"/>
                  <w:szCs w:val="18"/>
                </w:rPr>
                <w:t>www.chinawealth.com.cn</w:t>
              </w:r>
            </w:hyperlink>
          </w:p>
        </w:tc>
      </w:tr>
      <w:tr w:rsidR="004E578C">
        <w:trPr>
          <w:trHeight w:val="251"/>
          <w:jc w:val="center"/>
        </w:trPr>
        <w:tc>
          <w:tcPr>
            <w:tcW w:w="1945" w:type="dxa"/>
            <w:shd w:val="solid" w:color="FFFFFF" w:fill="FFFFFF"/>
            <w:vAlign w:val="center"/>
          </w:tcPr>
          <w:p w:rsidR="004E578C" w:rsidRDefault="004E578C" w:rsidP="004E578C">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4E578C" w:rsidRDefault="004E578C" w:rsidP="004E578C">
            <w:pPr>
              <w:spacing w:line="360" w:lineRule="auto"/>
              <w:jc w:val="left"/>
              <w:rPr>
                <w:rFonts w:ascii="宋体" w:hAnsi="宋体"/>
                <w:bCs/>
                <w:sz w:val="18"/>
                <w:szCs w:val="18"/>
              </w:rPr>
            </w:pPr>
            <w:r>
              <w:rPr>
                <w:rFonts w:ascii="宋体" w:hAnsi="宋体"/>
                <w:bCs/>
                <w:color w:val="000000" w:themeColor="text1"/>
                <w:sz w:val="18"/>
                <w:szCs w:val="18"/>
              </w:rPr>
              <w:t>【</w:t>
            </w:r>
            <w:r w:rsidRPr="008D5E1E">
              <w:rPr>
                <w:rFonts w:ascii="宋体" w:hAnsi="宋体"/>
                <w:bCs/>
                <w:color w:val="000000" w:themeColor="text1"/>
                <w:sz w:val="18"/>
                <w:szCs w:val="18"/>
              </w:rPr>
              <w:t>9K218031</w:t>
            </w:r>
            <w:r>
              <w:rPr>
                <w:rFonts w:ascii="宋体" w:hAnsi="宋体"/>
                <w:bCs/>
                <w:color w:val="000000" w:themeColor="text1"/>
                <w:sz w:val="18"/>
                <w:szCs w:val="18"/>
              </w:rPr>
              <w:t>】</w:t>
            </w:r>
          </w:p>
        </w:tc>
      </w:tr>
      <w:tr w:rsidR="004E578C">
        <w:trPr>
          <w:trHeight w:val="251"/>
          <w:jc w:val="center"/>
        </w:trPr>
        <w:tc>
          <w:tcPr>
            <w:tcW w:w="1945" w:type="dxa"/>
            <w:shd w:val="solid" w:color="FFFFFF" w:fill="FFFFFF"/>
          </w:tcPr>
          <w:p w:rsidR="004E578C" w:rsidRDefault="004E578C" w:rsidP="004E578C">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4E578C" w:rsidRDefault="004E578C" w:rsidP="004E578C">
            <w:pPr>
              <w:spacing w:line="320" w:lineRule="exact"/>
              <w:jc w:val="left"/>
              <w:rPr>
                <w:rFonts w:hAnsi="宋体"/>
                <w:sz w:val="18"/>
                <w:szCs w:val="18"/>
              </w:rPr>
            </w:pPr>
            <w:r>
              <w:rPr>
                <w:rFonts w:ascii="宋体" w:hAnsi="宋体" w:hint="eastAsia"/>
                <w:bCs/>
                <w:color w:val="000000" w:themeColor="text1"/>
                <w:sz w:val="18"/>
                <w:szCs w:val="18"/>
              </w:rPr>
              <w:t>【</w:t>
            </w:r>
            <w:r w:rsidRPr="008D5E1E">
              <w:rPr>
                <w:rFonts w:ascii="宋体" w:hAnsi="宋体"/>
                <w:bCs/>
                <w:color w:val="000000" w:themeColor="text1"/>
                <w:sz w:val="18"/>
                <w:szCs w:val="18"/>
              </w:rPr>
              <w:t>9K218031</w:t>
            </w:r>
            <w:r>
              <w:rPr>
                <w:rFonts w:ascii="宋体" w:hAnsi="宋体" w:hint="eastAsia"/>
                <w:bCs/>
                <w:color w:val="000000" w:themeColor="text1"/>
                <w:sz w:val="18"/>
                <w:szCs w:val="18"/>
              </w:rPr>
              <w:t>】</w:t>
            </w:r>
          </w:p>
        </w:tc>
      </w:tr>
      <w:tr w:rsidR="00FC6DC4">
        <w:trPr>
          <w:trHeight w:val="251"/>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FC6DC4" w:rsidRDefault="00F86856">
            <w:pPr>
              <w:spacing w:line="360" w:lineRule="auto"/>
              <w:rPr>
                <w:rFonts w:ascii="宋体" w:hAnsi="宋体"/>
                <w:bCs/>
                <w:sz w:val="18"/>
                <w:szCs w:val="18"/>
              </w:rPr>
            </w:pPr>
            <w:r>
              <w:rPr>
                <w:rFonts w:ascii="宋体" w:hAnsi="宋体" w:hint="eastAsia"/>
                <w:bCs/>
                <w:sz w:val="18"/>
                <w:szCs w:val="18"/>
              </w:rPr>
              <w:t>本产品不设置差异化子份额类别。</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FC6DC4" w:rsidRDefault="00F86856">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FC6DC4" w:rsidRDefault="00F86856">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FC6DC4" w:rsidRDefault="00F86856" w:rsidP="007E2C2F">
            <w:pPr>
              <w:spacing w:line="360" w:lineRule="auto"/>
              <w:rPr>
                <w:rFonts w:ascii="宋体" w:hAnsi="宋体"/>
                <w:bCs/>
                <w:sz w:val="18"/>
                <w:szCs w:val="18"/>
              </w:rPr>
            </w:pPr>
            <w:r>
              <w:rPr>
                <w:rFonts w:ascii="宋体" w:hAnsi="宋体" w:hint="eastAsia"/>
                <w:bCs/>
                <w:sz w:val="18"/>
                <w:szCs w:val="18"/>
              </w:rPr>
              <w:t>开放式</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FC6DC4" w:rsidRDefault="00F86856" w:rsidP="00B35C64">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FC6DC4" w:rsidRDefault="00F86856" w:rsidP="007E2C2F">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FC6DC4" w:rsidRDefault="00F86856" w:rsidP="007E2C2F">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FC6DC4" w:rsidRDefault="00F86856" w:rsidP="007E2C2F">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FC6DC4" w:rsidRDefault="00F86856" w:rsidP="007E2C2F">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704" w:type="dxa"/>
            <w:shd w:val="solid" w:color="FFFFFF" w:fill="FFFFFF"/>
            <w:vAlign w:val="center"/>
          </w:tcPr>
          <w:p w:rsidR="00FC6DC4" w:rsidRDefault="00F86856">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FC6DC4" w:rsidRDefault="00F86856">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FC6DC4" w:rsidRDefault="00F86856">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FC6DC4" w:rsidRDefault="00F86856">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FC6DC4" w:rsidRDefault="00F86856">
            <w:pPr>
              <w:spacing w:line="360" w:lineRule="auto"/>
              <w:jc w:val="left"/>
              <w:rPr>
                <w:rFonts w:ascii="宋体" w:hAnsi="宋体"/>
                <w:sz w:val="18"/>
                <w:szCs w:val="18"/>
              </w:rPr>
            </w:pPr>
            <w:r>
              <w:rPr>
                <w:rFonts w:ascii="宋体" w:hAnsi="宋体" w:hint="eastAsia"/>
                <w:sz w:val="18"/>
                <w:szCs w:val="18"/>
              </w:rPr>
              <w:t>□ 直销适用</w:t>
            </w:r>
          </w:p>
          <w:p w:rsidR="00FC6DC4" w:rsidRDefault="00F86856">
            <w:pPr>
              <w:spacing w:line="360" w:lineRule="auto"/>
              <w:jc w:val="left"/>
              <w:rPr>
                <w:rFonts w:ascii="宋体" w:hAnsi="宋体"/>
                <w:sz w:val="18"/>
                <w:szCs w:val="18"/>
              </w:rPr>
            </w:pPr>
            <w:r>
              <w:rPr>
                <w:rFonts w:ascii="宋体" w:hAnsi="宋体" w:hint="eastAsia"/>
                <w:sz w:val="18"/>
                <w:szCs w:val="18"/>
              </w:rPr>
              <w:lastRenderedPageBreak/>
              <w:t>本产品由产品管理人销售。</w:t>
            </w:r>
          </w:p>
          <w:p w:rsidR="00FC6DC4" w:rsidRDefault="00F86856">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FC6DC4" w:rsidRDefault="00F86856">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FC6DC4" w:rsidRDefault="00F86856">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规模为【30】亿元，最小成立规模为【/】亿元。</w:t>
            </w:r>
          </w:p>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无固定期限</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FC6DC4" w:rsidRDefault="00F86856">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：【201</w:t>
            </w:r>
            <w:r w:rsidR="00F9529B">
              <w:rPr>
                <w:rFonts w:asciiTheme="minorEastAsia" w:hAnsiTheme="minorEastAsia"/>
                <w:bCs/>
                <w:sz w:val="18"/>
                <w:szCs w:val="18"/>
              </w:rPr>
              <w:t>8</w:t>
            </w:r>
            <w:r>
              <w:rPr>
                <w:rFonts w:asciiTheme="minorEastAsia" w:hAnsiTheme="minorEastAsia" w:hint="eastAsia"/>
                <w:bCs/>
                <w:sz w:val="18"/>
                <w:szCs w:val="18"/>
              </w:rPr>
              <w:t>】年【</w:t>
            </w:r>
            <w:r w:rsidR="004E578C">
              <w:rPr>
                <w:rFonts w:asciiTheme="minorEastAsia" w:hAnsiTheme="minorEastAsia"/>
                <w:bCs/>
                <w:sz w:val="18"/>
                <w:szCs w:val="18"/>
              </w:rPr>
              <w:t>9</w:t>
            </w:r>
            <w:r>
              <w:rPr>
                <w:rFonts w:asciiTheme="minorEastAsia" w:hAnsiTheme="minorEastAsia" w:hint="eastAsia"/>
                <w:bCs/>
                <w:sz w:val="18"/>
                <w:szCs w:val="18"/>
              </w:rPr>
              <w:t>】月</w:t>
            </w:r>
            <w:r w:rsidR="007E2C2F">
              <w:rPr>
                <w:rFonts w:asciiTheme="minorEastAsia" w:hAnsiTheme="minorEastAsia" w:hint="eastAsia"/>
                <w:bCs/>
                <w:sz w:val="18"/>
                <w:szCs w:val="18"/>
              </w:rPr>
              <w:t>【</w:t>
            </w:r>
            <w:r w:rsidR="004E578C">
              <w:rPr>
                <w:rFonts w:asciiTheme="minorEastAsia" w:hAnsiTheme="minorEastAsia"/>
                <w:bCs/>
                <w:sz w:val="18"/>
                <w:szCs w:val="18"/>
              </w:rPr>
              <w:t>11</w:t>
            </w:r>
            <w:r>
              <w:rPr>
                <w:rFonts w:asciiTheme="minorEastAsia" w:hAnsiTheme="minorEastAsia" w:hint="eastAsia"/>
                <w:bCs/>
                <w:sz w:val="18"/>
                <w:szCs w:val="18"/>
              </w:rPr>
              <w:t>】日11:00至【201</w:t>
            </w:r>
            <w:r w:rsidR="00F9529B">
              <w:rPr>
                <w:rFonts w:asciiTheme="minorEastAsia" w:hAnsiTheme="minorEastAsia"/>
                <w:bCs/>
                <w:sz w:val="18"/>
                <w:szCs w:val="18"/>
              </w:rPr>
              <w:t>8</w:t>
            </w:r>
            <w:r>
              <w:rPr>
                <w:rFonts w:asciiTheme="minorEastAsia" w:hAnsiTheme="minorEastAsia" w:hint="eastAsia"/>
                <w:bCs/>
                <w:sz w:val="18"/>
                <w:szCs w:val="18"/>
              </w:rPr>
              <w:t>】年【</w:t>
            </w:r>
            <w:r w:rsidR="007E2C2F">
              <w:rPr>
                <w:rFonts w:asciiTheme="minorEastAsia" w:hAnsiTheme="minorEastAsia"/>
                <w:bCs/>
                <w:sz w:val="18"/>
                <w:szCs w:val="18"/>
              </w:rPr>
              <w:t>9</w:t>
            </w:r>
            <w:r>
              <w:rPr>
                <w:rFonts w:asciiTheme="minorEastAsia" w:hAnsiTheme="minorEastAsia" w:hint="eastAsia"/>
                <w:bCs/>
                <w:sz w:val="18"/>
                <w:szCs w:val="18"/>
              </w:rPr>
              <w:t>】月【</w:t>
            </w:r>
            <w:r w:rsidR="004E578C">
              <w:rPr>
                <w:rFonts w:asciiTheme="minorEastAsia" w:hAnsiTheme="minorEastAsia"/>
                <w:bCs/>
                <w:sz w:val="18"/>
                <w:szCs w:val="18"/>
              </w:rPr>
              <w:t>17</w:t>
            </w:r>
            <w:r>
              <w:rPr>
                <w:rFonts w:asciiTheme="minorEastAsia" w:hAnsiTheme="minorEastAsia" w:hint="eastAsia"/>
                <w:bCs/>
                <w:sz w:val="18"/>
                <w:szCs w:val="18"/>
              </w:rPr>
              <w:t>】日15:45</w:t>
            </w:r>
            <w:r>
              <w:rPr>
                <w:rFonts w:asciiTheme="majorEastAsia" w:eastAsiaTheme="majorEastAsia" w:hAnsiTheme="majorEastAsia"/>
                <w:sz w:val="18"/>
                <w:szCs w:val="18"/>
              </w:rPr>
              <w:t>。</w:t>
            </w:r>
            <w:bookmarkStart w:id="6" w:name="_GoBack"/>
            <w:bookmarkEnd w:id="6"/>
          </w:p>
          <w:p w:rsidR="00FC6DC4" w:rsidRDefault="00F86856">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FC6DC4" w:rsidRDefault="00F86856">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募集期内资金按照活期存款利息计息，认购期/募集期内的利息不计入认购资金</w:t>
            </w:r>
            <w:r>
              <w:rPr>
                <w:rFonts w:ascii="宋体" w:hAnsi="宋体" w:hint="eastAsia"/>
                <w:sz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FC6DC4" w:rsidRDefault="00F86856">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【201</w:t>
            </w:r>
            <w:r w:rsidR="00F9529B">
              <w:rPr>
                <w:rFonts w:asciiTheme="minorEastAsia" w:hAnsiTheme="minorEastAsia" w:cs="Times New Roman"/>
                <w:sz w:val="18"/>
                <w:szCs w:val="18"/>
              </w:rPr>
              <w:t>8</w:t>
            </w:r>
            <w:r>
              <w:rPr>
                <w:rFonts w:asciiTheme="minorEastAsia" w:hAnsiTheme="minorEastAsia" w:cs="Times New Roman"/>
                <w:sz w:val="18"/>
                <w:szCs w:val="18"/>
              </w:rPr>
              <w:t>】年【</w:t>
            </w:r>
            <w:r w:rsidR="007E2C2F">
              <w:rPr>
                <w:rFonts w:asciiTheme="minorEastAsia" w:hAnsiTheme="minorEastAsia" w:cs="Times New Roman"/>
                <w:sz w:val="18"/>
                <w:szCs w:val="18"/>
              </w:rPr>
              <w:t>9</w:t>
            </w:r>
            <w:r>
              <w:rPr>
                <w:rFonts w:asciiTheme="minorEastAsia" w:hAnsiTheme="minorEastAsia" w:cs="Times New Roman" w:hint="eastAsia"/>
                <w:sz w:val="18"/>
                <w:szCs w:val="18"/>
              </w:rPr>
              <w:t>】月【</w:t>
            </w:r>
            <w:r w:rsidR="004E578C">
              <w:rPr>
                <w:rFonts w:asciiTheme="minorEastAsia" w:hAnsiTheme="minorEastAsia" w:cs="Times New Roman"/>
                <w:sz w:val="18"/>
                <w:szCs w:val="18"/>
              </w:rPr>
              <w:t>18</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FC6DC4" w:rsidRDefault="00F86856">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FC6DC4" w:rsidRDefault="00F86856">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FC6DC4" w:rsidRDefault="00F86856">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w:t>
            </w:r>
            <w:r>
              <w:rPr>
                <w:rFonts w:asciiTheme="majorEastAsia" w:eastAsiaTheme="majorEastAsia" w:hAnsiTheme="majorEastAsia" w:cs="仿宋_GB2312" w:hint="eastAsia"/>
                <w:color w:val="000000" w:themeColor="text1"/>
                <w:kern w:val="0"/>
                <w:sz w:val="18"/>
                <w:szCs w:val="18"/>
              </w:rPr>
              <w:t>该</w:t>
            </w:r>
            <w:r>
              <w:rPr>
                <w:rFonts w:asciiTheme="majorEastAsia" w:eastAsiaTheme="majorEastAsia" w:hAnsiTheme="majorEastAsia" w:hint="eastAsia"/>
                <w:bCs/>
                <w:color w:val="000000" w:themeColor="text1"/>
                <w:sz w:val="18"/>
                <w:szCs w:val="18"/>
              </w:rPr>
              <w:t>投资者对应产品份额的认购确认日</w:t>
            </w:r>
            <w:r>
              <w:rPr>
                <w:rFonts w:asciiTheme="majorEastAsia" w:eastAsiaTheme="majorEastAsia" w:hAnsiTheme="majorEastAsia"/>
                <w:bCs/>
                <w:color w:val="000000" w:themeColor="text1"/>
                <w:sz w:val="18"/>
                <w:szCs w:val="18"/>
              </w:rPr>
              <w:t>/申购确认日</w:t>
            </w:r>
            <w:r>
              <w:rPr>
                <w:rFonts w:asciiTheme="majorEastAsia" w:eastAsiaTheme="majorEastAsia" w:hAnsiTheme="majorEastAsia" w:cs="仿宋_GB2312" w:hint="eastAsia"/>
                <w:color w:val="000000" w:themeColor="text1"/>
                <w:kern w:val="0"/>
                <w:sz w:val="18"/>
                <w:szCs w:val="18"/>
              </w:rPr>
              <w:t>至该投资者对应产品份额的赎回确认日的期间。</w:t>
            </w:r>
          </w:p>
          <w:p w:rsidR="00FC6DC4" w:rsidRDefault="00F86856">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正常情况下，本产品的一个投资周期为【6个月】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投资周期存在长于或短于【6个月】的可能，投资者具体投资周期以本产品说明书“申购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2.投资周期的参与</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FC6DC4" w:rsidRDefault="00F86856">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lastRenderedPageBreak/>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如果投资者在本产品提前终止时仍有未赎回的份额，则产品管理人将于提前终止日将未赎回的产品</w:t>
            </w:r>
            <w:r>
              <w:rPr>
                <w:rFonts w:asciiTheme="majorEastAsia" w:eastAsiaTheme="majorEastAsia" w:hAnsiTheme="majorEastAsia"/>
                <w:bCs/>
                <w:sz w:val="18"/>
                <w:szCs w:val="18"/>
              </w:rPr>
              <w:t>份额</w:t>
            </w:r>
            <w:r>
              <w:rPr>
                <w:rFonts w:asciiTheme="majorEastAsia" w:eastAsiaTheme="majorEastAsia" w:hAnsiTheme="majorEastAsia" w:hint="eastAsia"/>
                <w:bCs/>
                <w:sz w:val="18"/>
                <w:szCs w:val="18"/>
              </w:rPr>
              <w:t>自动进行清算，于提前终止日分配理财资金，本产品终止。</w:t>
            </w:r>
          </w:p>
          <w:p w:rsidR="00FC6DC4" w:rsidRDefault="00F86856">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FC6DC4" w:rsidRDefault="00F86856">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产品管理人有权调整投资周期，调整后的投资周期以产品管理人发布的公告中所载明的日期为准。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FC6DC4" w:rsidRDefault="00F86856">
            <w:pPr>
              <w:spacing w:line="360" w:lineRule="auto"/>
              <w:rPr>
                <w:rFonts w:asciiTheme="minorEastAsia" w:hAnsiTheme="minorEastAsia" w:cs="Times New Roman"/>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cs="Times New Roman" w:hint="eastAsia"/>
                <w:sz w:val="18"/>
                <w:szCs w:val="18"/>
              </w:rPr>
              <w:t>本产品成立后，开放多个预约申购/赎回期。</w:t>
            </w:r>
          </w:p>
          <w:p w:rsidR="00FC6DC4" w:rsidRDefault="00F86856">
            <w:pPr>
              <w:spacing w:line="360" w:lineRule="auto"/>
              <w:rPr>
                <w:rFonts w:asciiTheme="majorEastAsia" w:eastAsiaTheme="majorEastAsia" w:hAnsiTheme="majorEastAsia"/>
                <w:bCs/>
                <w:color w:val="000000" w:themeColor="text1"/>
                <w:sz w:val="18"/>
                <w:szCs w:val="18"/>
              </w:rPr>
            </w:pPr>
            <w:r>
              <w:rPr>
                <w:rFonts w:asciiTheme="minorEastAsia" w:hAnsiTheme="minorEastAsia" w:cs="Times New Roman" w:hint="eastAsia"/>
                <w:sz w:val="18"/>
                <w:szCs w:val="18"/>
              </w:rPr>
              <w:t>2</w:t>
            </w:r>
            <w:r>
              <w:rPr>
                <w:rFonts w:asciiTheme="minorEastAsia" w:hAnsiTheme="minorEastAsia" w:cs="Times New Roman"/>
                <w:sz w:val="18"/>
                <w:szCs w:val="18"/>
              </w:rPr>
              <w:t>.</w:t>
            </w:r>
            <w:r>
              <w:rPr>
                <w:rFonts w:asciiTheme="minorEastAsia" w:hAnsiTheme="minorEastAsia" w:cs="Times New Roman" w:hint="eastAsia"/>
                <w:sz w:val="18"/>
                <w:szCs w:val="18"/>
              </w:rPr>
              <w:t>预约申购具体安排如下：</w:t>
            </w:r>
          </w:p>
          <w:p w:rsidR="00B70789" w:rsidRDefault="00F86856" w:rsidP="00044AE2">
            <w:pPr>
              <w:spacing w:line="360" w:lineRule="auto"/>
              <w:rPr>
                <w:rFonts w:asciiTheme="majorEastAsia" w:eastAsiaTheme="majorEastAsia" w:hAnsiTheme="majorEastAsia"/>
                <w:bCs/>
                <w:color w:val="000000" w:themeColor="text1"/>
                <w:sz w:val="18"/>
                <w:szCs w:val="18"/>
              </w:rPr>
            </w:pPr>
            <w:r>
              <w:rPr>
                <w:rFonts w:asciiTheme="minorEastAsia" w:hAnsiTheme="minorEastAsia" w:cs="Times New Roman" w:hint="eastAsia"/>
                <w:sz w:val="18"/>
                <w:szCs w:val="18"/>
              </w:rPr>
              <w:t>（1）申购的时间</w:t>
            </w:r>
          </w:p>
          <w:p w:rsidR="004E578C" w:rsidRPr="004E578C" w:rsidRDefault="004E578C" w:rsidP="004E578C">
            <w:pPr>
              <w:spacing w:line="360" w:lineRule="auto"/>
              <w:rPr>
                <w:rFonts w:asciiTheme="majorEastAsia" w:eastAsiaTheme="majorEastAsia" w:hAnsiTheme="majorEastAsia" w:hint="eastAsia"/>
                <w:bCs/>
                <w:color w:val="000000" w:themeColor="text1"/>
                <w:sz w:val="18"/>
                <w:szCs w:val="18"/>
              </w:rPr>
            </w:pPr>
            <w:r w:rsidRPr="004E578C">
              <w:rPr>
                <w:rFonts w:asciiTheme="majorEastAsia" w:eastAsiaTheme="majorEastAsia" w:hAnsiTheme="majorEastAsia" w:hint="eastAsia"/>
                <w:bCs/>
                <w:color w:val="000000" w:themeColor="text1"/>
                <w:sz w:val="18"/>
                <w:szCs w:val="18"/>
              </w:rPr>
              <w:t>□预约申购期：【2022】年【09】月【06】日11:00至【2022】年【09】月【13】日15:45；投资周期【181】天；</w:t>
            </w:r>
          </w:p>
          <w:p w:rsidR="004E578C" w:rsidRPr="004E578C" w:rsidRDefault="004E578C" w:rsidP="004E578C">
            <w:pPr>
              <w:spacing w:line="360" w:lineRule="auto"/>
              <w:rPr>
                <w:rFonts w:asciiTheme="majorEastAsia" w:eastAsiaTheme="majorEastAsia" w:hAnsiTheme="majorEastAsia" w:hint="eastAsia"/>
                <w:bCs/>
                <w:color w:val="000000" w:themeColor="text1"/>
                <w:sz w:val="18"/>
                <w:szCs w:val="18"/>
              </w:rPr>
            </w:pPr>
            <w:r w:rsidRPr="004E578C">
              <w:rPr>
                <w:rFonts w:asciiTheme="majorEastAsia" w:eastAsiaTheme="majorEastAsia" w:hAnsiTheme="majorEastAsia" w:hint="eastAsia"/>
                <w:bCs/>
                <w:color w:val="000000" w:themeColor="text1"/>
                <w:sz w:val="18"/>
                <w:szCs w:val="18"/>
              </w:rPr>
              <w:t>□预约申购期：【2022】年【09】月【14】日11:00至【2022】年【09】月【19】日15:45；投资周期【175】天；</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（2）申购的确认</w:t>
            </w:r>
          </w:p>
          <w:tbl>
            <w:tblPr>
              <w:tblStyle w:val="af4"/>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FC6DC4">
              <w:trPr>
                <w:trHeight w:val="278"/>
                <w:jc w:val="center"/>
              </w:trPr>
              <w:tc>
                <w:tcPr>
                  <w:tcW w:w="155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预约申购申请日</w:t>
                  </w:r>
                </w:p>
              </w:tc>
              <w:tc>
                <w:tcPr>
                  <w:tcW w:w="1559" w:type="dxa"/>
                  <w:vAlign w:val="center"/>
                </w:tcPr>
                <w:p w:rsidR="00FC6DC4" w:rsidRDefault="00F86856">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申购日</w:t>
                  </w:r>
                </w:p>
              </w:tc>
              <w:tc>
                <w:tcPr>
                  <w:tcW w:w="1843"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222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w:t>
                  </w:r>
                  <w:r>
                    <w:rPr>
                      <w:rFonts w:asciiTheme="minorEastAsia" w:hAnsiTheme="minorEastAsia" w:cs="Times New Roman"/>
                      <w:b/>
                      <w:bCs/>
                      <w:color w:val="auto"/>
                      <w:sz w:val="18"/>
                      <w:szCs w:val="18"/>
                    </w:rPr>
                    <w:t>方式</w:t>
                  </w:r>
                </w:p>
              </w:tc>
            </w:tr>
            <w:tr w:rsidR="00FC6DC4">
              <w:trPr>
                <w:trHeight w:val="557"/>
                <w:jc w:val="center"/>
              </w:trPr>
              <w:tc>
                <w:tcPr>
                  <w:tcW w:w="1559" w:type="dxa"/>
                </w:tcPr>
                <w:p w:rsidR="00FC6DC4" w:rsidRDefault="00F86856">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为预约申购期内任意一日</w:t>
                  </w:r>
                </w:p>
              </w:tc>
              <w:tc>
                <w:tcPr>
                  <w:tcW w:w="1559" w:type="dxa"/>
                </w:tcPr>
                <w:p w:rsidR="00FC6DC4" w:rsidRDefault="00F86856">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为预约申购期内最后一个工作日</w:t>
                  </w:r>
                </w:p>
              </w:tc>
              <w:tc>
                <w:tcPr>
                  <w:tcW w:w="1843"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申购日后【2】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2229"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产品管理人在申购确认日对投资者的申购申请的有效性进行确认，并登记理财份额。</w:t>
                  </w:r>
                </w:p>
              </w:tc>
            </w:tr>
          </w:tbl>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inorEastAsia" w:hAnsiTheme="minorEastAsia" w:cs="Times New Roman" w:hint="eastAsia"/>
                <w:sz w:val="18"/>
                <w:szCs w:val="18"/>
              </w:rPr>
              <w:t>本产品在一个完整投资周期结束前，设置一个预约申购期；在一个完整投资周期结束后，再设置多个预约申购期。</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赎回具体安排如下：</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lastRenderedPageBreak/>
              <w:t>（1）赎回的时间</w:t>
            </w:r>
          </w:p>
          <w:p w:rsidR="00FC6DC4" w:rsidRDefault="007E2C2F">
            <w:pPr>
              <w:spacing w:line="360" w:lineRule="auto"/>
              <w:rPr>
                <w:rFonts w:asciiTheme="majorEastAsia" w:eastAsiaTheme="majorEastAsia" w:hAnsiTheme="majorEastAsia"/>
                <w:bCs/>
                <w:color w:val="000000" w:themeColor="text1"/>
                <w:sz w:val="18"/>
                <w:szCs w:val="18"/>
              </w:rPr>
            </w:pPr>
            <w:r w:rsidRPr="007E2C2F">
              <w:rPr>
                <w:rFonts w:asciiTheme="majorEastAsia" w:eastAsiaTheme="majorEastAsia" w:hAnsiTheme="majorEastAsia" w:hint="eastAsia"/>
                <w:bCs/>
                <w:color w:val="000000" w:themeColor="text1"/>
                <w:sz w:val="18"/>
                <w:szCs w:val="18"/>
              </w:rPr>
              <w:t>预约赎回期：</w:t>
            </w:r>
            <w:r w:rsidR="004E578C" w:rsidRPr="004E578C">
              <w:rPr>
                <w:rFonts w:asciiTheme="majorEastAsia" w:eastAsiaTheme="majorEastAsia" w:hAnsiTheme="majorEastAsia" w:hint="eastAsia"/>
                <w:bCs/>
                <w:color w:val="000000" w:themeColor="text1"/>
                <w:sz w:val="18"/>
                <w:szCs w:val="18"/>
              </w:rPr>
              <w:t>【2023】年【02】月【28】日00:00至【2023】年【03】月【13】日15:45</w:t>
            </w:r>
            <w:r w:rsidR="00F86856">
              <w:rPr>
                <w:rFonts w:asciiTheme="majorEastAsia" w:eastAsiaTheme="majorEastAsia" w:hAnsiTheme="majorEastAsia" w:hint="eastAsia"/>
                <w:bCs/>
                <w:color w:val="000000" w:themeColor="text1"/>
                <w:sz w:val="18"/>
                <w:szCs w:val="18"/>
              </w:rPr>
              <w:t>。</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f4"/>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FC6DC4">
              <w:trPr>
                <w:trHeight w:val="278"/>
                <w:jc w:val="center"/>
              </w:trPr>
              <w:tc>
                <w:tcPr>
                  <w:tcW w:w="155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预约赎回申请日</w:t>
                  </w:r>
                </w:p>
              </w:tc>
              <w:tc>
                <w:tcPr>
                  <w:tcW w:w="1559" w:type="dxa"/>
                  <w:vAlign w:val="center"/>
                </w:tcPr>
                <w:p w:rsidR="00FC6DC4" w:rsidRDefault="00F86856">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赎回日</w:t>
                  </w:r>
                </w:p>
              </w:tc>
              <w:tc>
                <w:tcPr>
                  <w:tcW w:w="1843"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赎回确认日</w:t>
                  </w:r>
                </w:p>
              </w:tc>
              <w:tc>
                <w:tcPr>
                  <w:tcW w:w="222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w:t>
                  </w:r>
                  <w:r>
                    <w:rPr>
                      <w:rFonts w:asciiTheme="minorEastAsia" w:hAnsiTheme="minorEastAsia" w:cs="Times New Roman"/>
                      <w:b/>
                      <w:bCs/>
                      <w:color w:val="auto"/>
                      <w:sz w:val="18"/>
                      <w:szCs w:val="18"/>
                    </w:rPr>
                    <w:t>方式</w:t>
                  </w:r>
                </w:p>
              </w:tc>
            </w:tr>
            <w:tr w:rsidR="00FC6DC4">
              <w:trPr>
                <w:trHeight w:val="557"/>
                <w:jc w:val="center"/>
              </w:trPr>
              <w:tc>
                <w:tcPr>
                  <w:tcW w:w="1559" w:type="dxa"/>
                </w:tcPr>
                <w:p w:rsidR="00FC6DC4" w:rsidRDefault="00F86856">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为预约赎回期内任意一日</w:t>
                  </w:r>
                </w:p>
              </w:tc>
              <w:tc>
                <w:tcPr>
                  <w:tcW w:w="1559" w:type="dxa"/>
                </w:tcPr>
                <w:p w:rsidR="00FC6DC4" w:rsidRDefault="00F86856">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为预约赎回期内最后一个工作日</w:t>
                  </w:r>
                </w:p>
              </w:tc>
              <w:tc>
                <w:tcPr>
                  <w:tcW w:w="1843"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赎回日后【2】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2229"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产品管理人在赎回</w:t>
                  </w:r>
                  <w:r>
                    <w:rPr>
                      <w:rFonts w:asciiTheme="minorEastAsia" w:eastAsiaTheme="minorEastAsia" w:hAnsiTheme="minorEastAsia" w:cs="Times New Roman"/>
                      <w:bCs/>
                      <w:sz w:val="18"/>
                      <w:szCs w:val="18"/>
                    </w:rPr>
                    <w:t>确认日</w:t>
                  </w:r>
                  <w:r>
                    <w:rPr>
                      <w:rFonts w:asciiTheme="minorEastAsia" w:eastAsiaTheme="minorEastAsia" w:hAnsiTheme="minorEastAsia" w:cs="Times New Roman" w:hint="eastAsia"/>
                      <w:bCs/>
                      <w:sz w:val="18"/>
                      <w:szCs w:val="18"/>
                    </w:rPr>
                    <w:t>对投资者的赎回申请的有效性进行确认，并注销理财份额。</w:t>
                  </w:r>
                </w:p>
              </w:tc>
            </w:tr>
          </w:tbl>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ajorEastAsia" w:hAnsiTheme="majorEastAsia" w:hint="eastAsia"/>
                <w:color w:val="000000" w:themeColor="text1"/>
                <w:sz w:val="18"/>
              </w:rPr>
              <w:t>赎回</w:t>
            </w:r>
            <w:r>
              <w:rPr>
                <w:rFonts w:asciiTheme="majorEastAsia" w:eastAsiaTheme="majorEastAsia" w:hAnsiTheme="majorEastAsia" w:hint="eastAsia"/>
                <w:bCs/>
                <w:color w:val="000000" w:themeColor="text1"/>
                <w:sz w:val="18"/>
                <w:szCs w:val="18"/>
              </w:rPr>
              <w:t>款项于</w:t>
            </w:r>
            <w:r>
              <w:rPr>
                <w:rFonts w:asciiTheme="minorEastAsia" w:eastAsiaTheme="minorEastAsia" w:hAnsiTheme="minorEastAsia" w:cs="Times New Roman" w:hint="eastAsia"/>
                <w:bCs/>
                <w:kern w:val="0"/>
                <w:sz w:val="18"/>
                <w:szCs w:val="18"/>
              </w:rPr>
              <w:t>赎回</w:t>
            </w:r>
            <w:r>
              <w:rPr>
                <w:rFonts w:asciiTheme="minorEastAsia" w:hAnsiTheme="minorEastAsia" w:hint="eastAsia"/>
                <w:kern w:val="0"/>
                <w:sz w:val="18"/>
              </w:rPr>
              <w:t>日后【5】</w:t>
            </w:r>
            <w:proofErr w:type="gramStart"/>
            <w:r>
              <w:rPr>
                <w:rFonts w:asciiTheme="minorEastAsia" w:hAnsiTheme="minorEastAsia" w:hint="eastAsia"/>
                <w:kern w:val="0"/>
                <w:sz w:val="18"/>
              </w:rPr>
              <w:t>个</w:t>
            </w:r>
            <w:proofErr w:type="gramEnd"/>
            <w:r>
              <w:rPr>
                <w:rFonts w:asciiTheme="minorEastAsia" w:hAnsiTheme="minorEastAsia" w:hint="eastAsia"/>
                <w:kern w:val="0"/>
                <w:sz w:val="18"/>
              </w:rPr>
              <w:t>工作日</w:t>
            </w:r>
            <w:r>
              <w:rPr>
                <w:rFonts w:asciiTheme="minorEastAsia" w:eastAsiaTheme="minorEastAsia" w:hAnsiTheme="minorEastAsia" w:cs="Times New Roman" w:hint="eastAsia"/>
                <w:bCs/>
                <w:kern w:val="0"/>
                <w:sz w:val="18"/>
                <w:szCs w:val="18"/>
              </w:rPr>
              <w:t>内支付给</w:t>
            </w:r>
            <w:r>
              <w:rPr>
                <w:rFonts w:asciiTheme="minorEastAsia" w:hAnsiTheme="minorEastAsia" w:hint="eastAsia"/>
                <w:kern w:val="0"/>
                <w:sz w:val="18"/>
              </w:rPr>
              <w:t>投资者</w:t>
            </w:r>
            <w:r>
              <w:rPr>
                <w:rFonts w:asciiTheme="minorEastAsia" w:eastAsiaTheme="minorEastAsia" w:hAnsiTheme="minorEastAsia" w:cs="Times New Roman" w:hint="eastAsia"/>
                <w:bCs/>
                <w:kern w:val="0"/>
                <w:sz w:val="18"/>
                <w:szCs w:val="18"/>
              </w:rPr>
              <w:t>。</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4.预约申购期/</w:t>
            </w:r>
            <w:r>
              <w:rPr>
                <w:rFonts w:asciiTheme="majorEastAsia" w:eastAsiaTheme="majorEastAsia" w:hAnsiTheme="majorEastAsia" w:hint="eastAsia"/>
                <w:bCs/>
                <w:color w:val="000000" w:themeColor="text1"/>
                <w:sz w:val="18"/>
                <w:szCs w:val="18"/>
              </w:rPr>
              <w:t>预约赎回期的起始日和终止日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cs="Times New Roman" w:hint="eastAsia"/>
                <w:sz w:val="18"/>
                <w:szCs w:val="18"/>
              </w:rPr>
              <w:t>本产品在一个完整投资周期结束前，由产品</w:t>
            </w:r>
            <w:r>
              <w:rPr>
                <w:rFonts w:asciiTheme="minorEastAsia" w:hAnsiTheme="minorEastAsia" w:cs="Times New Roman"/>
                <w:sz w:val="18"/>
                <w:szCs w:val="18"/>
              </w:rPr>
              <w:t>管理人</w:t>
            </w:r>
            <w:r>
              <w:rPr>
                <w:rFonts w:asciiTheme="minorEastAsia" w:hAnsiTheme="minorEastAsia" w:cs="Times New Roman" w:hint="eastAsia"/>
                <w:sz w:val="18"/>
                <w:szCs w:val="18"/>
              </w:rPr>
              <w:t>更新产品说明书，约定下一个完整投资周期对应的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FC6DC4" w:rsidRDefault="00F86856">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注：关于代理销售机构的实际工作服务时段的提示</w:t>
            </w:r>
          </w:p>
          <w:p w:rsidR="00FC6DC4" w:rsidRDefault="00F86856">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FC6DC4" w:rsidRDefault="00F86856">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购买起点金额为【1.00】元；超出起点金额的部分以【0.01】元的整数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p>
          <w:p w:rsidR="00FC6DC4" w:rsidRDefault="00F86856">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FC6DC4" w:rsidRDefault="00F86856">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FC6DC4" w:rsidRDefault="00F86856">
            <w:pPr>
              <w:spacing w:line="360" w:lineRule="auto"/>
              <w:jc w:val="left"/>
              <w:rPr>
                <w:rFonts w:asciiTheme="minorEastAsia" w:hAnsiTheme="minorEastAsia" w:cs="Times New Roman"/>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FC6DC4">
        <w:trPr>
          <w:trHeight w:val="275"/>
          <w:jc w:val="center"/>
        </w:trPr>
        <w:tc>
          <w:tcPr>
            <w:tcW w:w="1945" w:type="dxa"/>
            <w:shd w:val="solid" w:color="FFFFFF" w:fill="FFFFFF"/>
            <w:vAlign w:val="center"/>
          </w:tcPr>
          <w:p w:rsidR="00FC6DC4" w:rsidRDefault="00F86856">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FC6DC4" w:rsidRDefault="00F86856">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单一投资者认购上限为【/】。如需突破上限，请与产品管理人或销售机构客户经理联系。</w:t>
            </w:r>
          </w:p>
          <w:p w:rsidR="00FC6DC4" w:rsidRDefault="00F86856">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rsidR="00FC6DC4" w:rsidRDefault="00F86856">
            <w:pPr>
              <w:pStyle w:val="Default"/>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rsidR="00FC6DC4" w:rsidRDefault="00F86856">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rsidR="00FC6DC4" w:rsidRDefault="00F86856">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（2）非因管理人主观因素导致突破该比例限制的，在单一投资者持有比例降至50%以下之前，管理人不再接受该投资者对本产品的认购、申购申请。</w:t>
            </w:r>
          </w:p>
        </w:tc>
      </w:tr>
      <w:tr w:rsidR="00FC6DC4">
        <w:trPr>
          <w:trHeight w:val="275"/>
          <w:jc w:val="center"/>
        </w:trPr>
        <w:tc>
          <w:tcPr>
            <w:tcW w:w="1945" w:type="dxa"/>
            <w:shd w:val="solid" w:color="FFFFFF" w:fill="FFFFFF"/>
          </w:tcPr>
          <w:p w:rsidR="00FC6DC4" w:rsidRDefault="00F86856">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FC6DC4" w:rsidRDefault="00F86856">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w:t>
            </w:r>
            <w:proofErr w:type="gramStart"/>
            <w:r>
              <w:rPr>
                <w:rFonts w:asciiTheme="majorEastAsia" w:eastAsiaTheme="majorEastAsia" w:hAnsiTheme="majorEastAsia" w:hint="eastAsia"/>
                <w:bCs/>
                <w:sz w:val="18"/>
                <w:szCs w:val="18"/>
              </w:rPr>
              <w:t>申请总</w:t>
            </w:r>
            <w:proofErr w:type="gramEnd"/>
            <w:r>
              <w:rPr>
                <w:rFonts w:asciiTheme="majorEastAsia" w:eastAsiaTheme="majorEastAsia" w:hAnsiTheme="majorEastAsia" w:hint="eastAsia"/>
                <w:bCs/>
                <w:sz w:val="18"/>
                <w:szCs w:val="18"/>
              </w:rPr>
              <w:t>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FC6DC4" w:rsidRDefault="00F86856">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FC6DC4" w:rsidRDefault="00F86856">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日之前的估值日公布的产品份额净值已扣除交易手续费、销售服务费、产品托管费、投资管理费。</w:t>
            </w:r>
          </w:p>
          <w:p w:rsidR="00FC6DC4" w:rsidRDefault="00F86856">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FC6DC4">
        <w:trPr>
          <w:trHeight w:val="1078"/>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FC6DC4" w:rsidRDefault="00F86856">
            <w:pPr>
              <w:spacing w:line="360" w:lineRule="auto"/>
              <w:rPr>
                <w:rFonts w:asciiTheme="majorEastAsia" w:hAnsiTheme="majorEastAsia"/>
                <w:bCs/>
                <w:sz w:val="18"/>
                <w:szCs w:val="18"/>
              </w:rPr>
            </w:pPr>
            <w:r>
              <w:rPr>
                <w:rFonts w:ascii="宋体" w:hAnsi="宋体" w:hint="eastAsia"/>
                <w:b/>
                <w:bCs/>
                <w:sz w:val="18"/>
                <w:szCs w:val="18"/>
              </w:rPr>
              <w:t>1.业绩比较基准的说明：</w:t>
            </w:r>
            <w:r>
              <w:rPr>
                <w:rFonts w:asciiTheme="majorEastAsia" w:eastAsiaTheme="majorEastAsia" w:hAnsiTheme="majorEastAsia" w:hint="eastAsia"/>
                <w:bCs/>
                <w:sz w:val="18"/>
                <w:szCs w:val="18"/>
              </w:rPr>
              <w:t>以一年期定期存款利率为无风险利率，基于当前对未来市场的判断，根据拟投资固定收益类资产的信用利差、</w:t>
            </w:r>
            <w:proofErr w:type="gramStart"/>
            <w:r>
              <w:rPr>
                <w:rFonts w:asciiTheme="majorEastAsia" w:eastAsiaTheme="majorEastAsia" w:hAnsiTheme="majorEastAsia" w:hint="eastAsia"/>
                <w:bCs/>
                <w:sz w:val="18"/>
                <w:szCs w:val="18"/>
              </w:rPr>
              <w:t>久期敞口</w:t>
            </w:r>
            <w:proofErr w:type="gramEnd"/>
            <w:r>
              <w:rPr>
                <w:rFonts w:asciiTheme="majorEastAsia" w:eastAsiaTheme="majorEastAsia" w:hAnsiTheme="majorEastAsia" w:hint="eastAsia"/>
                <w:bCs/>
                <w:sz w:val="18"/>
                <w:szCs w:val="18"/>
              </w:rPr>
              <w:t>以及流动性溢价，预判组合的波动幅度，设定业绩基准。</w:t>
            </w:r>
          </w:p>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2.业绩比较基准的设定</w:t>
            </w:r>
            <w:r>
              <w:rPr>
                <w:rFonts w:asciiTheme="majorEastAsia" w:eastAsiaTheme="majorEastAsia" w:hAnsiTheme="majorEastAsia" w:hint="eastAsia"/>
                <w:bCs/>
                <w:sz w:val="18"/>
                <w:szCs w:val="18"/>
              </w:rPr>
              <w:t>：</w:t>
            </w:r>
            <w:r>
              <w:rPr>
                <w:rFonts w:asciiTheme="majorEastAsia" w:hAnsiTheme="majorEastAsia" w:hint="eastAsia"/>
                <w:b/>
                <w:sz w:val="18"/>
              </w:rPr>
              <w:t>管理人对</w:t>
            </w:r>
            <w:r>
              <w:rPr>
                <w:rFonts w:asciiTheme="majorEastAsia" w:hAnsiTheme="majorEastAsia"/>
                <w:b/>
                <w:sz w:val="18"/>
              </w:rPr>
              <w:t>本产品设定</w:t>
            </w:r>
            <w:r>
              <w:rPr>
                <w:rFonts w:asciiTheme="majorEastAsia" w:hAnsiTheme="majorEastAsia" w:hint="eastAsia"/>
                <w:b/>
                <w:sz w:val="18"/>
              </w:rPr>
              <w:t>业绩比较基准：</w:t>
            </w:r>
            <w:proofErr w:type="gramStart"/>
            <w:r>
              <w:rPr>
                <w:rFonts w:asciiTheme="majorEastAsia" w:hAnsiTheme="majorEastAsia" w:hint="eastAsia"/>
                <w:b/>
                <w:sz w:val="18"/>
              </w:rPr>
              <w:t>年化</w:t>
            </w:r>
            <w:r>
              <w:rPr>
                <w:rFonts w:ascii="宋体" w:hAnsi="宋体" w:hint="eastAsia"/>
                <w:b/>
                <w:bCs/>
                <w:sz w:val="18"/>
                <w:szCs w:val="18"/>
              </w:rPr>
              <w:t>【3.00-4.00%</w:t>
            </w:r>
            <w:r>
              <w:rPr>
                <w:rFonts w:ascii="宋体" w:hAnsi="宋体"/>
                <w:b/>
                <w:bCs/>
                <w:sz w:val="18"/>
                <w:szCs w:val="18"/>
              </w:rPr>
              <w:t>】</w:t>
            </w:r>
            <w:proofErr w:type="gramEnd"/>
            <w:r>
              <w:rPr>
                <w:rFonts w:ascii="宋体" w:hAnsi="宋体" w:hint="eastAsia"/>
                <w:b/>
                <w:bCs/>
                <w:sz w:val="18"/>
                <w:szCs w:val="18"/>
              </w:rPr>
              <w:t>。</w:t>
            </w:r>
          </w:p>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3.业绩比较基准的提示：</w:t>
            </w:r>
          </w:p>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（1）业绩比较基准不代表理财产品未来表现，不等于理财产品实际收益，不作为产品收益的业绩保证，投资须谨慎。</w:t>
            </w:r>
          </w:p>
          <w:p w:rsidR="00FC6DC4" w:rsidRDefault="00F86856">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w:t>
            </w:r>
            <w:r>
              <w:rPr>
                <w:rFonts w:asciiTheme="majorEastAsia" w:eastAsiaTheme="majorEastAsia" w:hAnsiTheme="majorEastAsia" w:hint="eastAsia"/>
                <w:kern w:val="0"/>
                <w:sz w:val="18"/>
                <w:szCs w:val="18"/>
              </w:rPr>
              <w:lastRenderedPageBreak/>
              <w:t>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FC6DC4">
        <w:trPr>
          <w:trHeight w:val="1078"/>
          <w:jc w:val="center"/>
        </w:trPr>
        <w:tc>
          <w:tcPr>
            <w:tcW w:w="1945" w:type="dxa"/>
            <w:shd w:val="solid" w:color="FFFFFF" w:fill="FFFFFF"/>
            <w:vAlign w:val="center"/>
          </w:tcPr>
          <w:p w:rsidR="00FC6DC4" w:rsidRDefault="00F86856">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FC6DC4" w:rsidRDefault="00F86856">
            <w:pPr>
              <w:spacing w:line="360" w:lineRule="auto"/>
              <w:jc w:val="left"/>
              <w:rPr>
                <w:rFonts w:ascii="宋体" w:hAnsi="宋体"/>
                <w:bCs/>
                <w:sz w:val="18"/>
                <w:szCs w:val="18"/>
              </w:rPr>
            </w:pPr>
            <w:r>
              <w:rPr>
                <w:rFonts w:ascii="宋体" w:hAnsi="宋体" w:hint="eastAsia"/>
                <w:bCs/>
                <w:sz w:val="18"/>
                <w:szCs w:val="18"/>
              </w:rPr>
              <w:t>管理人对本产品设定业绩报酬计提基准：【</w:t>
            </w:r>
            <w:r w:rsidR="00F9529B">
              <w:rPr>
                <w:rFonts w:ascii="宋体" w:hAnsi="宋体" w:hint="eastAsia"/>
                <w:bCs/>
                <w:sz w:val="18"/>
                <w:szCs w:val="18"/>
              </w:rPr>
              <w:t>业绩比较基准上限</w:t>
            </w:r>
            <w:r>
              <w:rPr>
                <w:rFonts w:ascii="宋体" w:hAnsi="宋体" w:hint="eastAsia"/>
                <w:bCs/>
                <w:sz w:val="18"/>
                <w:szCs w:val="18"/>
              </w:rPr>
              <w:t>】。</w:t>
            </w:r>
          </w:p>
          <w:p w:rsidR="00FC6DC4" w:rsidRDefault="00F86856">
            <w:pPr>
              <w:spacing w:line="360" w:lineRule="auto"/>
              <w:jc w:val="left"/>
              <w:rPr>
                <w:rFonts w:ascii="宋体" w:hAnsi="宋体"/>
                <w:b/>
                <w:bCs/>
                <w:sz w:val="18"/>
                <w:szCs w:val="18"/>
              </w:rPr>
            </w:pPr>
            <w:r>
              <w:rPr>
                <w:rFonts w:ascii="宋体" w:hAnsi="宋体" w:hint="eastAsia"/>
                <w:b/>
                <w:bCs/>
                <w:sz w:val="18"/>
                <w:szCs w:val="18"/>
              </w:rPr>
              <w:t>业绩报酬计提基准仅作为管理人收取超额业绩报酬的参照数值标准，不代表理财产品未来表现，不等于理财产品实际收益，不作为产品收益的业绩保证，投资须谨慎。</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ascii="宋体" w:hAnsi="宋体" w:hint="eastAsia"/>
                <w:b/>
                <w:bCs/>
                <w:color w:val="000000" w:themeColor="text1"/>
                <w:sz w:val="18"/>
                <w:szCs w:val="18"/>
              </w:rPr>
              <w:t>赎回费：</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Theme="majorEastAsia" w:eastAsiaTheme="majorEastAsia" w:hAnsiTheme="majorEastAsia"/>
                <w:b/>
                <w:bCs/>
                <w:color w:val="000000" w:themeColor="text1"/>
                <w:sz w:val="18"/>
                <w:szCs w:val="18"/>
              </w:rPr>
              <w:t>4.销售服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【0.40】%</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20】</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FC6DC4" w:rsidRDefault="00F86856">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w:t>
            </w:r>
            <w:r>
              <w:rPr>
                <w:rFonts w:ascii="宋体" w:hAnsi="宋体"/>
                <w:b/>
                <w:bCs/>
                <w:color w:val="000000" w:themeColor="text1"/>
                <w:sz w:val="18"/>
                <w:szCs w:val="18"/>
              </w:rPr>
              <w:t>.</w:t>
            </w:r>
            <w:r>
              <w:rPr>
                <w:rFonts w:ascii="宋体" w:hAnsi="宋体" w:hint="eastAsia"/>
                <w:b/>
                <w:bCs/>
                <w:color w:val="000000" w:themeColor="text1"/>
                <w:sz w:val="18"/>
                <w:szCs w:val="18"/>
              </w:rPr>
              <w:t>超额业绩报酬：</w:t>
            </w:r>
          </w:p>
          <w:p w:rsidR="00FC6DC4" w:rsidRDefault="00F86856">
            <w:pPr>
              <w:widowControl/>
              <w:spacing w:line="360" w:lineRule="auto"/>
              <w:jc w:val="left"/>
              <w:rPr>
                <w:rFonts w:ascii="宋体" w:hAnsi="宋体"/>
                <w:sz w:val="18"/>
                <w:szCs w:val="18"/>
              </w:rPr>
            </w:pPr>
            <w:r>
              <w:rPr>
                <w:rFonts w:ascii="宋体" w:hAnsi="宋体" w:hint="eastAsia"/>
                <w:sz w:val="18"/>
                <w:szCs w:val="18"/>
              </w:rPr>
              <w:t>每份产品份额在超额业绩报酬计提日时，若理财资产扣除销售服务费、产品托管费和投资管理费等相关费用后，超额业绩报酬计提日产品份额净值折算</w:t>
            </w:r>
            <w:proofErr w:type="gramStart"/>
            <w:r>
              <w:rPr>
                <w:rFonts w:ascii="宋体" w:hAnsi="宋体" w:hint="eastAsia"/>
                <w:sz w:val="18"/>
                <w:szCs w:val="18"/>
              </w:rPr>
              <w:t>的年化收益率</w:t>
            </w:r>
            <w:proofErr w:type="gramEnd"/>
            <w:r>
              <w:rPr>
                <w:rFonts w:ascii="宋体" w:hAnsi="宋体" w:hint="eastAsia"/>
                <w:sz w:val="18"/>
                <w:szCs w:val="18"/>
              </w:rPr>
              <w:t>超过业绩报酬计提基准，则产品管理人收取超出部分的【30%】作为超额业绩报酬。</w:t>
            </w:r>
          </w:p>
          <w:p w:rsidR="00FC6DC4" w:rsidRDefault="00F86856">
            <w:pPr>
              <w:spacing w:line="360" w:lineRule="auto"/>
              <w:rPr>
                <w:rFonts w:ascii="黑体" w:eastAsia="黑体" w:hAnsi="黑体"/>
                <w:bCs/>
                <w:sz w:val="18"/>
                <w:szCs w:val="18"/>
              </w:rPr>
            </w:pPr>
            <w:r>
              <w:rPr>
                <w:rFonts w:ascii="宋体" w:hAnsi="宋体"/>
                <w:bCs/>
                <w:sz w:val="18"/>
                <w:szCs w:val="18"/>
              </w:rPr>
              <w:t>8</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宋体" w:hAnsi="宋体" w:hint="eastAsia"/>
                <w:b/>
                <w:bCs/>
                <w:kern w:val="0"/>
                <w:sz w:val="18"/>
                <w:szCs w:val="18"/>
              </w:rPr>
              <w:t>税收</w:t>
            </w:r>
          </w:p>
        </w:tc>
        <w:tc>
          <w:tcPr>
            <w:tcW w:w="7704" w:type="dxa"/>
            <w:shd w:val="solid" w:color="FFFFFF" w:fill="FFFFFF"/>
            <w:vAlign w:val="center"/>
          </w:tcPr>
          <w:p w:rsidR="00FC6DC4" w:rsidRDefault="00F86856">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FC6DC4" w:rsidRDefault="00F86856">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FC6DC4" w:rsidRDefault="00F86856">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FC6DC4" w:rsidRDefault="00FC6DC4">
      <w:pPr>
        <w:pStyle w:val="Default"/>
        <w:spacing w:line="360" w:lineRule="auto"/>
        <w:rPr>
          <w:rFonts w:hAnsi="宋体"/>
          <w:sz w:val="18"/>
          <w:szCs w:val="18"/>
        </w:rPr>
      </w:pPr>
    </w:p>
    <w:p w:rsidR="00FC6DC4" w:rsidRDefault="00F86856">
      <w:pPr>
        <w:widowControl/>
        <w:spacing w:line="360" w:lineRule="auto"/>
        <w:jc w:val="left"/>
        <w:rPr>
          <w:rFonts w:ascii="宋体" w:hAnsi="宋体"/>
          <w:color w:val="000000"/>
          <w:kern w:val="0"/>
          <w:sz w:val="18"/>
          <w:szCs w:val="18"/>
        </w:rPr>
      </w:pPr>
      <w:r>
        <w:rPr>
          <w:rFonts w:hAnsi="宋体"/>
          <w:sz w:val="18"/>
          <w:szCs w:val="18"/>
        </w:rPr>
        <w:br w:type="page"/>
      </w:r>
    </w:p>
    <w:p w:rsidR="00FC6DC4" w:rsidRDefault="00F86856">
      <w:pPr>
        <w:pStyle w:val="1"/>
        <w:spacing w:before="0" w:after="0" w:line="360" w:lineRule="auto"/>
        <w:jc w:val="center"/>
        <w:rPr>
          <w:rFonts w:ascii="Times New Roman"/>
          <w:sz w:val="30"/>
        </w:rPr>
      </w:pPr>
      <w:bookmarkStart w:id="7" w:name="_Toc15862"/>
      <w:bookmarkStart w:id="8" w:name="_Toc79154666"/>
      <w:bookmarkStart w:id="9" w:name="_Toc92377132"/>
      <w:r>
        <w:rPr>
          <w:rFonts w:ascii="Times New Roman"/>
          <w:sz w:val="30"/>
        </w:rPr>
        <w:lastRenderedPageBreak/>
        <w:t>第</w:t>
      </w:r>
      <w:r>
        <w:rPr>
          <w:rFonts w:ascii="Times New Roman" w:hint="eastAsia"/>
          <w:sz w:val="30"/>
        </w:rPr>
        <w:t>三条</w:t>
      </w:r>
      <w:r>
        <w:rPr>
          <w:rFonts w:ascii="Times New Roman"/>
          <w:sz w:val="30"/>
        </w:rPr>
        <w:t xml:space="preserve">  </w:t>
      </w:r>
      <w:bookmarkStart w:id="10" w:name="_Toc79392573"/>
      <w:r>
        <w:rPr>
          <w:rFonts w:ascii="Times New Roman" w:hint="eastAsia"/>
          <w:sz w:val="30"/>
        </w:rPr>
        <w:t>理财产品的认购</w:t>
      </w:r>
      <w:bookmarkEnd w:id="7"/>
      <w:bookmarkEnd w:id="8"/>
      <w:bookmarkEnd w:id="9"/>
    </w:p>
    <w:p w:rsidR="00FC6DC4" w:rsidRDefault="00F86856">
      <w:pPr>
        <w:spacing w:line="360" w:lineRule="auto"/>
        <w:ind w:firstLineChars="200" w:firstLine="361"/>
        <w:rPr>
          <w:rFonts w:asciiTheme="minorEastAsia" w:hAnsiTheme="minorEastAsia"/>
          <w:b/>
          <w:bCs/>
          <w:sz w:val="18"/>
          <w:szCs w:val="18"/>
        </w:rPr>
      </w:pPr>
      <w:bookmarkStart w:id="11" w:name="_Hlt88031774"/>
      <w:bookmarkStart w:id="12" w:name="_Hlt88031741"/>
      <w:bookmarkEnd w:id="11"/>
      <w:r>
        <w:rPr>
          <w:rFonts w:asciiTheme="minorEastAsia" w:hAnsiTheme="minorEastAsia" w:hint="eastAsia"/>
          <w:b/>
          <w:bCs/>
          <w:sz w:val="18"/>
          <w:szCs w:val="18"/>
        </w:rPr>
        <w:t>（一）理财产品的认购</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proofErr w:type="gramStart"/>
      <w:r>
        <w:rPr>
          <w:rFonts w:asciiTheme="minorEastAsia" w:eastAsiaTheme="minorEastAsia" w:hAnsiTheme="minorEastAsia" w:hint="eastAsia"/>
          <w:color w:val="auto"/>
          <w:sz w:val="18"/>
          <w:szCs w:val="18"/>
        </w:rPr>
        <w:t>定进行</w:t>
      </w:r>
      <w:proofErr w:type="gramEnd"/>
      <w:r>
        <w:rPr>
          <w:rFonts w:asciiTheme="minorEastAsia" w:eastAsiaTheme="minorEastAsia" w:hAnsiTheme="minorEastAsia" w:hint="eastAsia"/>
          <w:color w:val="auto"/>
          <w:sz w:val="18"/>
          <w:szCs w:val="18"/>
        </w:rPr>
        <w:t>公告。</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w:t>
      </w:r>
      <w:proofErr w:type="gramStart"/>
      <w:r>
        <w:rPr>
          <w:rFonts w:asciiTheme="minorEastAsia" w:eastAsiaTheme="minorEastAsia" w:hAnsiTheme="minorEastAsia" w:hint="eastAsia"/>
          <w:color w:val="auto"/>
          <w:sz w:val="18"/>
          <w:szCs w:val="18"/>
        </w:rPr>
        <w:t>上渠道</w:t>
      </w:r>
      <w:proofErr w:type="gramEnd"/>
      <w:r>
        <w:rPr>
          <w:rFonts w:asciiTheme="minorEastAsia" w:eastAsiaTheme="minorEastAsia" w:hAnsiTheme="minorEastAsia" w:hint="eastAsia"/>
          <w:color w:val="auto"/>
          <w:sz w:val="18"/>
          <w:szCs w:val="18"/>
        </w:rPr>
        <w:t>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4"/>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FC6DC4">
        <w:trPr>
          <w:jc w:val="center"/>
        </w:trPr>
        <w:tc>
          <w:tcPr>
            <w:tcW w:w="1984" w:type="dxa"/>
            <w:vAlign w:val="center"/>
          </w:tcPr>
          <w:p w:rsidR="00FC6DC4" w:rsidRDefault="00F86856">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FC6DC4" w:rsidRDefault="00F86856">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FC6DC4" w:rsidRDefault="00F86856">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FC6DC4">
        <w:trPr>
          <w:jc w:val="center"/>
        </w:trPr>
        <w:tc>
          <w:tcPr>
            <w:tcW w:w="1984" w:type="dxa"/>
            <w:vAlign w:val="center"/>
          </w:tcPr>
          <w:p w:rsidR="00FC6DC4" w:rsidRDefault="00F86856">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FC6DC4" w:rsidRDefault="00F86856">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FC6DC4" w:rsidRDefault="00F86856">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w:t>
      </w:r>
      <w:proofErr w:type="gramStart"/>
      <w:r>
        <w:rPr>
          <w:rFonts w:asciiTheme="minorEastAsia" w:eastAsiaTheme="minorEastAsia" w:hAnsiTheme="minorEastAsia" w:hint="eastAsia"/>
          <w:bCs/>
          <w:sz w:val="18"/>
          <w:szCs w:val="18"/>
        </w:rPr>
        <w:t>日系统</w:t>
      </w:r>
      <w:proofErr w:type="gramEnd"/>
      <w:r>
        <w:rPr>
          <w:rFonts w:asciiTheme="minorEastAsia" w:eastAsiaTheme="minorEastAsia" w:hAnsiTheme="minorEastAsia" w:hint="eastAsia"/>
          <w:bCs/>
          <w:sz w:val="18"/>
          <w:szCs w:val="18"/>
        </w:rPr>
        <w:t>完成处理后，查询产品份额。</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FC6DC4" w:rsidRDefault="00F86856">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FC6DC4" w:rsidRDefault="00F86856">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asciiTheme="minorEastAsia" w:hAnsiTheme="minorEastAsia" w:hint="eastAsia"/>
          <w:bCs/>
          <w:sz w:val="18"/>
          <w:szCs w:val="18"/>
        </w:rPr>
        <w:t>进入理财运作，不计算理财利益。</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rsidR="00FC6DC4" w:rsidRDefault="00F86856">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FC6DC4" w:rsidRDefault="00F86856">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FC6DC4" w:rsidRDefault="00FC6DC4">
      <w:pPr>
        <w:spacing w:line="360" w:lineRule="auto"/>
        <w:ind w:firstLineChars="200" w:firstLine="360"/>
        <w:rPr>
          <w:rFonts w:asciiTheme="minorEastAsia" w:hAnsiTheme="minorEastAsia"/>
          <w:bCs/>
          <w:sz w:val="18"/>
          <w:szCs w:val="18"/>
        </w:rPr>
      </w:pPr>
    </w:p>
    <w:p w:rsidR="00FC6DC4" w:rsidRDefault="00F86856">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FC6DC4" w:rsidRDefault="00F86856">
      <w:pPr>
        <w:pStyle w:val="1"/>
        <w:spacing w:before="0" w:after="0" w:line="360" w:lineRule="auto"/>
        <w:jc w:val="center"/>
        <w:rPr>
          <w:rFonts w:ascii="Times New Roman"/>
          <w:sz w:val="30"/>
        </w:rPr>
      </w:pPr>
      <w:bookmarkStart w:id="13" w:name="_Toc92377133"/>
      <w:bookmarkStart w:id="14" w:name="_Toc79154667"/>
      <w:bookmarkStart w:id="15" w:name="_Toc28040"/>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3"/>
      <w:bookmarkEnd w:id="14"/>
      <w:bookmarkEnd w:id="15"/>
    </w:p>
    <w:bookmarkEnd w:id="12"/>
    <w:p w:rsidR="00FC6DC4" w:rsidRDefault="00FC6DC4">
      <w:pPr>
        <w:spacing w:line="360" w:lineRule="auto"/>
        <w:ind w:firstLineChars="200" w:firstLine="420"/>
      </w:pP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w:t>
      </w:r>
      <w:proofErr w:type="gramStart"/>
      <w:r>
        <w:rPr>
          <w:rFonts w:asciiTheme="majorEastAsia" w:eastAsiaTheme="majorEastAsia" w:hAnsiTheme="majorEastAsia" w:hint="eastAsia"/>
          <w:bCs/>
          <w:color w:val="auto"/>
          <w:sz w:val="18"/>
          <w:szCs w:val="18"/>
        </w:rPr>
        <w:t>期时间</w:t>
      </w:r>
      <w:proofErr w:type="gramEnd"/>
      <w:r>
        <w:rPr>
          <w:rFonts w:asciiTheme="majorEastAsia" w:eastAsiaTheme="majorEastAsia" w:hAnsiTheme="majorEastAsia" w:hint="eastAsia"/>
          <w:bCs/>
          <w:color w:val="auto"/>
          <w:sz w:val="18"/>
          <w:szCs w:val="18"/>
        </w:rPr>
        <w:t>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申购的，应根据销售机构线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FC6DC4" w:rsidRDefault="00F86856">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预约申购期内产品管理人可受理投资者提交的预约申购申请。</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w:t>
      </w:r>
      <w:proofErr w:type="gramStart"/>
      <w:r>
        <w:rPr>
          <w:rFonts w:asciiTheme="minorEastAsia" w:eastAsiaTheme="minorEastAsia" w:hAnsiTheme="minorEastAsia" w:hint="eastAsia"/>
          <w:bCs/>
          <w:color w:val="auto"/>
          <w:sz w:val="18"/>
          <w:szCs w:val="18"/>
        </w:rPr>
        <w:t>日系统</w:t>
      </w:r>
      <w:proofErr w:type="gramEnd"/>
      <w:r>
        <w:rPr>
          <w:rFonts w:asciiTheme="minorEastAsia" w:eastAsiaTheme="minorEastAsia" w:hAnsiTheme="minorEastAsia" w:hint="eastAsia"/>
          <w:bCs/>
          <w:color w:val="auto"/>
          <w:sz w:val="18"/>
          <w:szCs w:val="18"/>
        </w:rPr>
        <w:t>完成处理后，查询产品份额。</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FC6DC4" w:rsidRDefault="00F86856">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申购的起点和追加金额</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lastRenderedPageBreak/>
        <w:t>1.</w:t>
      </w:r>
      <w:r>
        <w:rPr>
          <w:rFonts w:asciiTheme="minorEastAsia" w:hAnsiTheme="minorEastAsia" w:hint="eastAsia"/>
          <w:b/>
          <w:bCs/>
          <w:color w:val="auto"/>
          <w:sz w:val="18"/>
          <w:szCs w:val="18"/>
        </w:rPr>
        <w:t>赎回的时间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本产品设置预约赎回期，具体的预约赎回</w:t>
      </w:r>
      <w:proofErr w:type="gramStart"/>
      <w:r>
        <w:rPr>
          <w:rFonts w:asciiTheme="majorEastAsia" w:eastAsiaTheme="majorEastAsia" w:hAnsiTheme="majorEastAsia" w:hint="eastAsia"/>
          <w:bCs/>
          <w:color w:val="auto"/>
          <w:sz w:val="18"/>
          <w:szCs w:val="18"/>
        </w:rPr>
        <w:t>期时间</w:t>
      </w:r>
      <w:proofErr w:type="gramEnd"/>
      <w:r>
        <w:rPr>
          <w:rFonts w:asciiTheme="majorEastAsia" w:eastAsiaTheme="majorEastAsia" w:hAnsiTheme="majorEastAsia" w:hint="eastAsia"/>
          <w:bCs/>
          <w:color w:val="auto"/>
          <w:sz w:val="18"/>
          <w:szCs w:val="18"/>
        </w:rPr>
        <w:t>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w:t>
      </w:r>
      <w:proofErr w:type="gramStart"/>
      <w:r>
        <w:rPr>
          <w:rFonts w:asciiTheme="majorEastAsia" w:eastAsiaTheme="majorEastAsia" w:hAnsiTheme="majorEastAsia" w:hint="eastAsia"/>
          <w:color w:val="auto"/>
          <w:sz w:val="18"/>
          <w:szCs w:val="18"/>
        </w:rPr>
        <w:t>上渠道</w:t>
      </w:r>
      <w:proofErr w:type="gramEnd"/>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FC6DC4" w:rsidRDefault="00F86856">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预约赎回期内产品管理人可受理投资者提交的预约赎回申请。</w:t>
      </w:r>
      <w:r>
        <w:rPr>
          <w:rFonts w:asciiTheme="majorEastAsia" w:eastAsiaTheme="majorEastAsia" w:hAnsiTheme="majorEastAsia" w:hint="eastAsia"/>
          <w:color w:val="auto"/>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FC6DC4" w:rsidRDefault="00F86856">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（四）</w:t>
      </w:r>
      <w:r>
        <w:rPr>
          <w:rFonts w:asciiTheme="majorEastAsia" w:eastAsiaTheme="majorEastAsia" w:hAnsiTheme="majorEastAsia" w:hint="eastAsia"/>
          <w:b/>
          <w:color w:val="auto"/>
          <w:sz w:val="18"/>
          <w:szCs w:val="18"/>
        </w:rPr>
        <w:t>申购与赎回的原则</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FC6DC4" w:rsidRDefault="00F86856">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lastRenderedPageBreak/>
        <w:t>（五）拒绝或暂停申购的情形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w:t>
      </w:r>
      <w:r>
        <w:rPr>
          <w:rFonts w:asciiTheme="majorEastAsia" w:eastAsiaTheme="majorEastAsia" w:hAnsiTheme="majorEastAsia"/>
          <w:color w:val="auto"/>
          <w:sz w:val="18"/>
          <w:szCs w:val="18"/>
        </w:rPr>
        <w:t>申购申请：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（六）暂停赎回或延缓支付赎回款项的情形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（七）巨额赎回的情形及</w:t>
      </w:r>
      <w:r>
        <w:rPr>
          <w:rFonts w:asciiTheme="majorEastAsia" w:eastAsiaTheme="majorEastAsia" w:hAnsiTheme="majorEastAsia"/>
          <w:b/>
          <w:color w:val="auto"/>
          <w:sz w:val="18"/>
          <w:szCs w:val="18"/>
        </w:rPr>
        <w:t>处理方式</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w:t>
      </w:r>
      <w:proofErr w:type="gramStart"/>
      <w:r>
        <w:rPr>
          <w:rFonts w:asciiTheme="majorEastAsia" w:eastAsiaTheme="majorEastAsia" w:hAnsiTheme="majorEastAsia" w:hint="eastAsia"/>
          <w:bCs/>
          <w:sz w:val="18"/>
          <w:szCs w:val="18"/>
        </w:rPr>
        <w:t>期重新</w:t>
      </w:r>
      <w:proofErr w:type="gramEnd"/>
      <w:r>
        <w:rPr>
          <w:rFonts w:asciiTheme="majorEastAsia" w:eastAsiaTheme="majorEastAsia" w:hAnsiTheme="majorEastAsia" w:hint="eastAsia"/>
          <w:bCs/>
          <w:sz w:val="18"/>
          <w:szCs w:val="18"/>
        </w:rPr>
        <w:t>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在发生巨额赎回产品管理人暂停接受投资者预约赎回申请时，产品管理人将依约</w:t>
      </w:r>
      <w:proofErr w:type="gramStart"/>
      <w:r>
        <w:rPr>
          <w:rFonts w:asciiTheme="majorEastAsia" w:eastAsiaTheme="majorEastAsia" w:hAnsiTheme="majorEastAsia" w:hint="eastAsia"/>
          <w:bCs/>
          <w:color w:val="auto"/>
          <w:sz w:val="18"/>
          <w:szCs w:val="18"/>
        </w:rPr>
        <w:t>定发布</w:t>
      </w:r>
      <w:proofErr w:type="gramEnd"/>
      <w:r>
        <w:rPr>
          <w:rFonts w:asciiTheme="majorEastAsia" w:eastAsiaTheme="majorEastAsia" w:hAnsiTheme="majorEastAsia" w:hint="eastAsia"/>
          <w:bCs/>
          <w:color w:val="auto"/>
          <w:sz w:val="18"/>
          <w:szCs w:val="18"/>
        </w:rPr>
        <w:t>相关公告信息。</w:t>
      </w:r>
    </w:p>
    <w:p w:rsidR="00FC6DC4" w:rsidRDefault="00F86856">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（八）</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（九）投资者持有理财份额的限额和理财产品总规模限额</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FC6DC4" w:rsidRDefault="00F86856">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FC6DC4" w:rsidRDefault="00F86856">
      <w:pPr>
        <w:pStyle w:val="1"/>
        <w:spacing w:before="0" w:after="0" w:line="360" w:lineRule="auto"/>
        <w:jc w:val="center"/>
        <w:rPr>
          <w:rFonts w:ascii="Times New Roman"/>
          <w:sz w:val="30"/>
        </w:rPr>
      </w:pPr>
      <w:bookmarkStart w:id="16" w:name="_Toc29948"/>
      <w:bookmarkStart w:id="17" w:name="_Toc16265"/>
      <w:bookmarkStart w:id="18" w:name="_Toc22074"/>
      <w:bookmarkStart w:id="19" w:name="_Toc74065741"/>
      <w:bookmarkStart w:id="20" w:name="_Toc29784"/>
      <w:bookmarkStart w:id="21" w:name="_Toc90742321"/>
      <w:bookmarkStart w:id="22" w:name="_Toc24722"/>
      <w:bookmarkStart w:id="23" w:name="_Toc92377134"/>
      <w:bookmarkStart w:id="24" w:name="_Toc27226"/>
      <w:bookmarkStart w:id="25" w:name="_Toc79154668"/>
      <w:bookmarkStart w:id="26" w:name="_Toc3266"/>
      <w:bookmarkStart w:id="27" w:name="_Toc7151"/>
      <w:bookmarkStart w:id="28" w:name="_Toc90742390"/>
      <w:bookmarkStart w:id="29" w:name="_Toc90742688"/>
      <w:bookmarkStart w:id="30" w:name="_Toc6714"/>
      <w:bookmarkStart w:id="31" w:name="_Toc27189"/>
      <w:bookmarkStart w:id="32" w:name="_Toc15203"/>
      <w:bookmarkEnd w:id="10"/>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在严格控制组合风险的前提下，通过不断优化组合，力争实现超越业绩比较基准的收益。</w:t>
      </w:r>
    </w:p>
    <w:p w:rsidR="00FC6DC4" w:rsidRDefault="00F86856">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（实际投资范围可根据法律法规及监管规定进行调整）</w:t>
      </w:r>
      <w:r>
        <w:rPr>
          <w:rFonts w:asciiTheme="majorEastAsia" w:eastAsiaTheme="majorEastAsia" w:hAnsiTheme="majorEastAsia"/>
          <w:bCs/>
          <w:sz w:val="18"/>
          <w:szCs w:val="18"/>
        </w:rPr>
        <w:t>：</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（1）银行存款、债券逆回购、货币基金等货币市场工具及其它银行间和交易所资金融通工具；</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（3）符合监管要求的债权类资产。</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（4）以套期保值为目的的国债期货、利率互换、</w:t>
      </w:r>
      <w:r>
        <w:rPr>
          <w:rFonts w:asciiTheme="majorEastAsia" w:eastAsiaTheme="majorEastAsia" w:hAnsiTheme="majorEastAsia" w:hint="eastAsia"/>
          <w:bCs/>
          <w:color w:val="000000" w:themeColor="text1"/>
          <w:sz w:val="18"/>
          <w:szCs w:val="18"/>
        </w:rPr>
        <w:t>信用风险缓释工具、</w:t>
      </w:r>
      <w:r>
        <w:rPr>
          <w:rFonts w:asciiTheme="majorEastAsia" w:eastAsiaTheme="majorEastAsia" w:hAnsiTheme="majorEastAsia" w:hint="eastAsia"/>
          <w:bCs/>
          <w:sz w:val="18"/>
          <w:szCs w:val="18"/>
        </w:rPr>
        <w:t>债券借贷。</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（6）其他风险不高于前述资产的资产。</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本产品投资于固定收益类资产的比例不低于产品总资产的</w:t>
      </w:r>
      <w:r>
        <w:rPr>
          <w:rFonts w:asciiTheme="majorEastAsia" w:eastAsiaTheme="majorEastAsia" w:hAnsiTheme="majorEastAsia"/>
          <w:bCs/>
          <w:sz w:val="18"/>
          <w:szCs w:val="18"/>
        </w:rPr>
        <w:t>80%</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符合监管要求的非标准化债权类资产低于产品总资产的50%。</w:t>
      </w:r>
    </w:p>
    <w:p w:rsidR="00FC6DC4" w:rsidRDefault="00F86856">
      <w:pPr>
        <w:pStyle w:val="Default"/>
        <w:spacing w:line="360" w:lineRule="auto"/>
        <w:ind w:firstLineChars="235" w:firstLine="423"/>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kern w:val="2"/>
          <w:sz w:val="18"/>
          <w:szCs w:val="18"/>
        </w:rPr>
        <w:t>（3）</w:t>
      </w:r>
      <w:r>
        <w:rPr>
          <w:rFonts w:asciiTheme="majorEastAsia" w:eastAsiaTheme="majorEastAsia" w:hAnsiTheme="majorEastAsia" w:hint="eastAsia"/>
          <w:bCs/>
          <w:sz w:val="18"/>
          <w:szCs w:val="18"/>
        </w:rPr>
        <w:t>国债期货、利率互换、信用风险缓释工具等衍生品</w:t>
      </w:r>
      <w:r>
        <w:rPr>
          <w:rFonts w:asciiTheme="majorEastAsia" w:eastAsiaTheme="majorEastAsia" w:hAnsiTheme="majorEastAsia" w:hint="eastAsia"/>
          <w:bCs/>
          <w:color w:val="000000" w:themeColor="text1"/>
          <w:kern w:val="2"/>
          <w:sz w:val="18"/>
          <w:szCs w:val="18"/>
        </w:rPr>
        <w:t>占产品总资产比例低于20%。</w:t>
      </w:r>
    </w:p>
    <w:p w:rsidR="00FC6DC4" w:rsidRDefault="00F86856">
      <w:pPr>
        <w:autoSpaceDE w:val="0"/>
        <w:autoSpaceDN w:val="0"/>
        <w:adjustRightInd w:val="0"/>
        <w:spacing w:line="360" w:lineRule="auto"/>
        <w:ind w:firstLineChars="200" w:firstLine="361"/>
        <w:jc w:val="left"/>
      </w:pPr>
      <w:r>
        <w:rPr>
          <w:rFonts w:asciiTheme="majorEastAsia" w:eastAsiaTheme="majorEastAsia" w:hAnsiTheme="majorEastAsia" w:hint="eastAsia"/>
          <w:b/>
          <w:sz w:val="18"/>
          <w:szCs w:val="18"/>
        </w:rPr>
        <w:t>注：本产品可能投资不存在活跃交易市场，并且需要采用估值技术确定公允价值的资产，且投资上述资产的比例达到理财产品净资产50%以上。</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.如果法律法规对本协议约定投资组合比例限制进行变更的，以变更后的规定为准。</w:t>
      </w:r>
    </w:p>
    <w:p w:rsidR="00FC6DC4" w:rsidRDefault="00F8685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w:t>
      </w:r>
      <w:r>
        <w:rPr>
          <w:rFonts w:asciiTheme="majorEastAsia" w:eastAsiaTheme="majorEastAsia" w:hAnsiTheme="majorEastAsia"/>
          <w:bCs/>
          <w:sz w:val="18"/>
          <w:szCs w:val="18"/>
        </w:rPr>
        <w:lastRenderedPageBreak/>
        <w:t>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w:t>
      </w:r>
      <w:proofErr w:type="gramStart"/>
      <w:r>
        <w:rPr>
          <w:rFonts w:asciiTheme="majorEastAsia" w:eastAsiaTheme="majorEastAsia" w:hAnsiTheme="majorEastAsia" w:hint="eastAsia"/>
          <w:bCs/>
          <w:sz w:val="18"/>
          <w:szCs w:val="18"/>
        </w:rPr>
        <w:t>定及时</w:t>
      </w:r>
      <w:proofErr w:type="gramEnd"/>
      <w:r>
        <w:rPr>
          <w:rFonts w:asciiTheme="majorEastAsia" w:eastAsiaTheme="majorEastAsia" w:hAnsiTheme="majorEastAsia" w:hint="eastAsia"/>
          <w:bCs/>
          <w:sz w:val="18"/>
          <w:szCs w:val="18"/>
        </w:rPr>
        <w:t>向投资者进行信息披露。</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FC6DC4" w:rsidRDefault="00F86856">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w:t>
      </w:r>
      <w:proofErr w:type="gramStart"/>
      <w:r>
        <w:rPr>
          <w:rFonts w:ascii="黑体" w:eastAsia="黑体" w:hAnsi="黑体"/>
          <w:bCs/>
          <w:sz w:val="18"/>
          <w:szCs w:val="18"/>
        </w:rPr>
        <w:t>作出</w:t>
      </w:r>
      <w:proofErr w:type="gramEnd"/>
      <w:r>
        <w:rPr>
          <w:rFonts w:ascii="黑体" w:eastAsia="黑体" w:hAnsi="黑体"/>
          <w:bCs/>
          <w:sz w:val="18"/>
          <w:szCs w:val="18"/>
        </w:rPr>
        <w:t>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FC6DC4" w:rsidRDefault="00F86856">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（5）本产品直接投资于流动性受限资产的市值在开放日不得超过该产品资产净值的15%。</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w:t>
      </w:r>
      <w:proofErr w:type="gramStart"/>
      <w:r>
        <w:rPr>
          <w:rFonts w:asciiTheme="majorEastAsia" w:eastAsiaTheme="majorEastAsia" w:hAnsiTheme="majorEastAsia" w:hint="eastAsia"/>
          <w:bCs/>
          <w:kern w:val="0"/>
          <w:sz w:val="18"/>
          <w:szCs w:val="18"/>
        </w:rPr>
        <w:t>一</w:t>
      </w:r>
      <w:proofErr w:type="gramEnd"/>
      <w:r>
        <w:rPr>
          <w:rFonts w:asciiTheme="majorEastAsia" w:eastAsiaTheme="majorEastAsia" w:hAnsiTheme="majorEastAsia" w:hint="eastAsia"/>
          <w:bCs/>
          <w:kern w:val="0"/>
          <w:sz w:val="18"/>
          <w:szCs w:val="18"/>
        </w:rPr>
        <w:t>工作日内，本产品7个工作日可变现资产的可变现价</w:t>
      </w:r>
      <w:proofErr w:type="gramStart"/>
      <w:r>
        <w:rPr>
          <w:rFonts w:asciiTheme="majorEastAsia" w:eastAsiaTheme="majorEastAsia" w:hAnsiTheme="majorEastAsia" w:hint="eastAsia"/>
          <w:bCs/>
          <w:kern w:val="0"/>
          <w:sz w:val="18"/>
          <w:szCs w:val="18"/>
        </w:rPr>
        <w:t>值应当</w:t>
      </w:r>
      <w:proofErr w:type="gramEnd"/>
      <w:r>
        <w:rPr>
          <w:rFonts w:asciiTheme="majorEastAsia" w:eastAsiaTheme="majorEastAsia" w:hAnsiTheme="majorEastAsia" w:hint="eastAsia"/>
          <w:bCs/>
          <w:kern w:val="0"/>
          <w:sz w:val="18"/>
          <w:szCs w:val="18"/>
        </w:rPr>
        <w:t>不低于该产品资产净值的10%。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lastRenderedPageBreak/>
        <w:t>140%。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（9）本产品投资资产</w:t>
      </w:r>
      <w:proofErr w:type="gramStart"/>
      <w:r>
        <w:rPr>
          <w:rFonts w:asciiTheme="majorEastAsia" w:eastAsiaTheme="majorEastAsia" w:hAnsiTheme="majorEastAsia" w:hint="eastAsia"/>
          <w:bCs/>
          <w:kern w:val="0"/>
          <w:sz w:val="18"/>
          <w:szCs w:val="18"/>
        </w:rPr>
        <w:t>组合久期不</w:t>
      </w:r>
      <w:proofErr w:type="gramEnd"/>
      <w:r>
        <w:rPr>
          <w:rFonts w:asciiTheme="majorEastAsia" w:eastAsiaTheme="majorEastAsia" w:hAnsiTheme="majorEastAsia" w:hint="eastAsia"/>
          <w:bCs/>
          <w:kern w:val="0"/>
          <w:sz w:val="18"/>
          <w:szCs w:val="18"/>
        </w:rPr>
        <w:t>超过【5】年。</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（10）本产品投资的各类债券主体（发行人或担保人）</w:t>
      </w:r>
      <w:proofErr w:type="gramStart"/>
      <w:r>
        <w:rPr>
          <w:rFonts w:asciiTheme="majorEastAsia" w:eastAsiaTheme="majorEastAsia" w:hAnsiTheme="majorEastAsia" w:hint="eastAsia"/>
          <w:bCs/>
          <w:kern w:val="0"/>
          <w:sz w:val="18"/>
          <w:szCs w:val="18"/>
        </w:rPr>
        <w:t>或债项</w:t>
      </w:r>
      <w:proofErr w:type="gramEnd"/>
      <w:r>
        <w:rPr>
          <w:rFonts w:asciiTheme="majorEastAsia" w:eastAsiaTheme="majorEastAsia" w:hAnsiTheme="majorEastAsia" w:hint="eastAsia"/>
          <w:bCs/>
          <w:kern w:val="0"/>
          <w:sz w:val="18"/>
          <w:szCs w:val="18"/>
        </w:rPr>
        <w:t>评级达到AA级（含）以上。</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bCs/>
          <w:sz w:val="18"/>
          <w:szCs w:val="18"/>
        </w:rPr>
        <w:t>10个交易日内调整至符合要求，监管机构规定的特殊情形除外。本</w:t>
      </w:r>
      <w:r>
        <w:rPr>
          <w:rFonts w:asciiTheme="majorEastAsia" w:eastAsiaTheme="majorEastAsia" w:hAnsiTheme="majorEastAsia" w:hint="eastAsia"/>
          <w:bCs/>
          <w:kern w:val="0"/>
          <w:sz w:val="18"/>
          <w:szCs w:val="18"/>
        </w:rPr>
        <w:t>产品投资于国债、地方政府债券、中央银行票据、政府机构债券、政策性金融债券以及完全按照有关指数的构成比例进行投资的除外。</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w:t>
      </w:r>
      <w:proofErr w:type="gramStart"/>
      <w:r>
        <w:rPr>
          <w:rFonts w:ascii="宋体" w:hAnsi="宋体" w:hint="eastAsia"/>
          <w:bCs/>
          <w:sz w:val="18"/>
          <w:szCs w:val="18"/>
        </w:rPr>
        <w:t>档</w:t>
      </w:r>
      <w:proofErr w:type="gramEnd"/>
      <w:r>
        <w:rPr>
          <w:rFonts w:ascii="宋体" w:hAnsi="宋体" w:hint="eastAsia"/>
          <w:bCs/>
          <w:sz w:val="18"/>
          <w:szCs w:val="18"/>
        </w:rPr>
        <w:t>信贷资产支持证券。</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投资者发行的理财产品不得直接或间接投资于不良资产、不良资产支持证券，国务院银行业监督管理机构另有规定的除外。</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proofErr w:type="gramStart"/>
      <w:r>
        <w:rPr>
          <w:rFonts w:ascii="宋体" w:hAnsi="宋体" w:hint="eastAsia"/>
          <w:bCs/>
          <w:sz w:val="18"/>
          <w:szCs w:val="18"/>
        </w:rPr>
        <w:t>不</w:t>
      </w:r>
      <w:proofErr w:type="gramEnd"/>
      <w:r>
        <w:rPr>
          <w:rFonts w:ascii="宋体" w:hAnsi="宋体" w:hint="eastAsia"/>
          <w:bCs/>
          <w:sz w:val="18"/>
          <w:szCs w:val="18"/>
        </w:rPr>
        <w:t>持有金融牌照的机构发行的产品或管理的资产，金融资产投资公司的附属机构依法依规设立的私</w:t>
      </w:r>
      <w:proofErr w:type="gramStart"/>
      <w:r>
        <w:rPr>
          <w:rFonts w:ascii="宋体" w:hAnsi="宋体" w:hint="eastAsia"/>
          <w:bCs/>
          <w:sz w:val="18"/>
          <w:szCs w:val="18"/>
        </w:rPr>
        <w:t>募股权投资</w:t>
      </w:r>
      <w:proofErr w:type="gramEnd"/>
      <w:r>
        <w:rPr>
          <w:rFonts w:ascii="宋体" w:hAnsi="宋体" w:hint="eastAsia"/>
          <w:bCs/>
          <w:sz w:val="18"/>
          <w:szCs w:val="18"/>
        </w:rPr>
        <w:t>基金以及国务院银行业监督管理机构另有规定的除外。</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投资者发行的理财产品不得直接或间接投资于不良资产受（收）益权。</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rsidR="00FC6DC4" w:rsidRDefault="00F8685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通过对经济基本面、企业盈利、无风险利率水平、资金面等因素进行定性和定量分析，根据产品的业绩目标和回撤目标制定各个阶段产品股债投资比例。</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 xml:space="preserve">（五）业绩比较基准 </w:t>
      </w:r>
    </w:p>
    <w:p w:rsidR="00FC6DC4" w:rsidRDefault="00F86856">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bCs/>
          <w:sz w:val="18"/>
          <w:szCs w:val="18"/>
        </w:rPr>
        <w:t xml:space="preserve"> 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rsidR="00FC6DC4" w:rsidRDefault="00F86856">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rsidR="00FC6DC4" w:rsidRDefault="00F86856">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产品管理人不设置业绩比较基准。</w:t>
      </w:r>
    </w:p>
    <w:p w:rsidR="00FC6DC4" w:rsidRDefault="00F86856">
      <w:pPr>
        <w:autoSpaceDE w:val="0"/>
        <w:autoSpaceDN w:val="0"/>
        <w:adjustRightInd w:val="0"/>
        <w:spacing w:line="360" w:lineRule="auto"/>
        <w:ind w:firstLineChars="200" w:firstLine="361"/>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（六）业绩报酬计提基准</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kern w:val="0"/>
          <w:sz w:val="18"/>
          <w:szCs w:val="18"/>
        </w:rPr>
        <w:t xml:space="preserve"> 产品管理人设置业绩报酬计提基准。</w:t>
      </w:r>
    </w:p>
    <w:p w:rsidR="00FC6DC4" w:rsidRDefault="00F86856">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1.产品管理人设置业绩报酬计提基准并进行公告，具体以当期《产品说明书》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FC6DC4" w:rsidRDefault="00F86856">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2.★业绩报酬计提基准仅作为管理人收取超额业绩报酬的参照，不代表理财产品未来表现，不等于理财产品实际收益，不作为产品收益的业绩保证，投资须谨慎。</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产品管理人不设置业绩报酬计提基准。</w:t>
      </w:r>
    </w:p>
    <w:p w:rsidR="00FC6DC4" w:rsidRDefault="00F86856">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FC6DC4" w:rsidRDefault="00F86856">
      <w:pPr>
        <w:pStyle w:val="1"/>
        <w:spacing w:before="0" w:after="0" w:line="360" w:lineRule="auto"/>
        <w:jc w:val="center"/>
        <w:rPr>
          <w:rFonts w:ascii="Times New Roman"/>
          <w:sz w:val="30"/>
        </w:rPr>
      </w:pPr>
      <w:bookmarkStart w:id="33" w:name="_Toc1823"/>
      <w:bookmarkStart w:id="34" w:name="_Toc14893"/>
      <w:bookmarkStart w:id="35" w:name="_Toc92377135"/>
      <w:bookmarkStart w:id="36" w:name="_Toc79154669"/>
      <w:bookmarkStart w:id="37" w:name="_Toc27357"/>
      <w:bookmarkStart w:id="38" w:name="_Toc18526"/>
      <w:bookmarkStart w:id="39" w:name="_Toc18329"/>
      <w:bookmarkStart w:id="40" w:name="_Toc17912"/>
      <w:bookmarkStart w:id="41" w:name="_Toc7848"/>
      <w:bookmarkStart w:id="42" w:name="_Toc139991735"/>
      <w:bookmarkStart w:id="43" w:name="_Toc18797"/>
      <w:bookmarkStart w:id="44" w:name="_Toc4741"/>
      <w:bookmarkStart w:id="45" w:name="_Toc141703885"/>
      <w:bookmarkStart w:id="46" w:name="_Toc26986"/>
      <w:bookmarkStart w:id="47" w:name="_Toc74065742"/>
      <w:bookmarkStart w:id="48" w:name="_Toc21988"/>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bookmarkStart w:id="49" w:name="_Hlk490214295"/>
      <w:r>
        <w:rPr>
          <w:rFonts w:asciiTheme="majorEastAsia" w:eastAsiaTheme="majorEastAsia" w:hAnsiTheme="majorEastAsia" w:hint="eastAsia"/>
          <w:b/>
          <w:color w:val="auto"/>
          <w:sz w:val="18"/>
          <w:szCs w:val="18"/>
        </w:rPr>
        <w:t>（一）理财产品的资产的保管和处分</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w:t>
      </w:r>
      <w:proofErr w:type="gramStart"/>
      <w:r>
        <w:rPr>
          <w:rFonts w:asciiTheme="majorEastAsia" w:eastAsiaTheme="majorEastAsia" w:hAnsiTheme="majorEastAsia" w:hint="eastAsia"/>
          <w:color w:val="auto"/>
          <w:sz w:val="18"/>
          <w:szCs w:val="18"/>
        </w:rPr>
        <w:t>律法规</w:t>
      </w:r>
      <w:proofErr w:type="gramEnd"/>
      <w:r>
        <w:rPr>
          <w:rFonts w:asciiTheme="majorEastAsia" w:eastAsiaTheme="majorEastAsia" w:hAnsiTheme="majorEastAsia" w:hint="eastAsia"/>
          <w:color w:val="auto"/>
          <w:sz w:val="18"/>
          <w:szCs w:val="18"/>
        </w:rPr>
        <w:t>规定的处分外，理财产品的资产不得被处分。</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；产品管理人管理运作不同产品的理财财产所产生的债权债务不得相互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FC6DC4" w:rsidRDefault="00F86856">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FC6DC4" w:rsidRDefault="00F86856">
      <w:pPr>
        <w:pStyle w:val="1"/>
        <w:spacing w:before="0" w:after="0" w:line="360" w:lineRule="auto"/>
        <w:jc w:val="center"/>
        <w:rPr>
          <w:rFonts w:ascii="Times New Roman"/>
          <w:sz w:val="28"/>
          <w:szCs w:val="28"/>
        </w:rPr>
      </w:pPr>
      <w:bookmarkStart w:id="50" w:name="_Toc10162"/>
      <w:bookmarkStart w:id="51" w:name="_Toc83391971"/>
      <w:bookmarkStart w:id="52" w:name="_Toc92377136"/>
      <w:bookmarkStart w:id="53" w:name="_Toc1270"/>
      <w:bookmarkStart w:id="54" w:name="_Toc23822"/>
      <w:bookmarkStart w:id="55" w:name="_Toc10463"/>
      <w:bookmarkStart w:id="56" w:name="_Toc123112234"/>
      <w:bookmarkStart w:id="57" w:name="_Toc4003"/>
      <w:bookmarkStart w:id="58" w:name="_Toc74065743"/>
      <w:bookmarkStart w:id="59" w:name="_Toc98560352"/>
      <w:bookmarkStart w:id="60" w:name="_Toc79392606"/>
      <w:bookmarkStart w:id="61" w:name="_Toc141703886"/>
      <w:bookmarkStart w:id="62" w:name="_Toc123051452"/>
      <w:bookmarkStart w:id="63" w:name="_Toc17244"/>
      <w:bookmarkStart w:id="64" w:name="_Toc20733"/>
      <w:bookmarkStart w:id="65" w:name="_Toc139991736"/>
      <w:bookmarkStart w:id="66" w:name="_Toc48649707"/>
      <w:bookmarkStart w:id="67" w:name="_Toc610"/>
      <w:bookmarkStart w:id="68" w:name="_Toc123102453"/>
      <w:bookmarkStart w:id="69" w:name="_Toc23261"/>
      <w:bookmarkStart w:id="70" w:name="_Toc79154670"/>
      <w:bookmarkStart w:id="71" w:name="_Toc1427"/>
      <w:bookmarkStart w:id="72" w:name="_Toc7920"/>
      <w:bookmarkEnd w:id="49"/>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50"/>
      <w:bookmarkEnd w:id="51"/>
      <w:bookmarkEnd w:id="52"/>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FC6DC4" w:rsidRDefault="00F86856">
      <w:pPr>
        <w:pStyle w:val="HTML"/>
        <w:spacing w:line="360" w:lineRule="auto"/>
        <w:ind w:firstLineChars="200" w:firstLine="360"/>
        <w:rPr>
          <w:rFonts w:asciiTheme="minorEastAsia" w:eastAsiaTheme="minorEastAsia" w:hAnsiTheme="minorEastAsia"/>
          <w:color w:val="2E3033"/>
          <w:sz w:val="18"/>
          <w:szCs w:val="18"/>
        </w:rPr>
      </w:pPr>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，每周进行一次估值。如</w:t>
      </w:r>
      <w:proofErr w:type="gramStart"/>
      <w:r>
        <w:rPr>
          <w:rFonts w:asciiTheme="minorEastAsia" w:eastAsiaTheme="minorEastAsia" w:hAnsiTheme="minorEastAsia" w:cs="Times New Roman" w:hint="eastAsia"/>
          <w:sz w:val="18"/>
          <w:szCs w:val="18"/>
        </w:rPr>
        <w:t>遇产品</w:t>
      </w:r>
      <w:proofErr w:type="gramEnd"/>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w:t>
      </w:r>
      <w:r>
        <w:rPr>
          <w:rFonts w:asciiTheme="minorEastAsia" w:eastAsiaTheme="minorEastAsia" w:hAnsiTheme="minorEastAsia" w:cs="Times New Roman"/>
          <w:sz w:val="18"/>
          <w:szCs w:val="18"/>
        </w:rPr>
        <w:t>、半年度、年度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FC6DC4" w:rsidRDefault="00F86856">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w:t>
      </w:r>
      <w:proofErr w:type="gramStart"/>
      <w:r>
        <w:rPr>
          <w:rFonts w:asciiTheme="majorEastAsia" w:eastAsiaTheme="majorEastAsia" w:hAnsiTheme="majorEastAsia" w:hint="eastAsia"/>
          <w:bCs/>
          <w:color w:val="auto"/>
          <w:sz w:val="18"/>
          <w:szCs w:val="18"/>
        </w:rPr>
        <w:t>流难以</w:t>
      </w:r>
      <w:proofErr w:type="gramEnd"/>
      <w:r>
        <w:rPr>
          <w:rFonts w:asciiTheme="majorEastAsia" w:eastAsiaTheme="majorEastAsia" w:hAnsiTheme="majorEastAsia" w:hint="eastAsia"/>
          <w:bCs/>
          <w:color w:val="auto"/>
          <w:sz w:val="18"/>
          <w:szCs w:val="18"/>
        </w:rPr>
        <w:t>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非标准化债权类资产，是指不满足中国人民银行制定的标准化债权类资产认定标准的债权类资产。可选取第三方估值机构的价格数据或采用估值技术进行估值。</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lastRenderedPageBreak/>
        <w:t>4.上市公司股票</w:t>
      </w:r>
      <w:r>
        <w:rPr>
          <w:rFonts w:asciiTheme="majorEastAsia" w:eastAsiaTheme="majorEastAsia" w:hAnsiTheme="majorEastAsia" w:hint="eastAsia"/>
          <w:b/>
          <w:bCs/>
          <w:color w:val="auto"/>
          <w:sz w:val="18"/>
          <w:szCs w:val="18"/>
        </w:rPr>
        <w:t>估值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2）上市基金估值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lastRenderedPageBreak/>
        <w:t>2)本产品投资的境内上市开放式基金（LOF），按所投资基金估值日的基金份额净值估值；估值日基金净值未公布的，以基金管理人公布的最近一个工作日基金份额净值计算。</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w:t>
      </w:r>
      <w:proofErr w:type="gramStart"/>
      <w:r>
        <w:rPr>
          <w:rFonts w:asciiTheme="minorEastAsia" w:eastAsiaTheme="minorEastAsia" w:hAnsiTheme="minorEastAsia" w:hint="eastAsia"/>
          <w:bCs/>
          <w:sz w:val="18"/>
          <w:szCs w:val="18"/>
        </w:rPr>
        <w:t>日资产</w:t>
      </w:r>
      <w:proofErr w:type="gramEnd"/>
      <w:r>
        <w:rPr>
          <w:rFonts w:asciiTheme="minorEastAsia" w:eastAsiaTheme="minorEastAsia" w:hAnsiTheme="minorEastAsia" w:hint="eastAsia"/>
          <w:bCs/>
          <w:sz w:val="18"/>
          <w:szCs w:val="18"/>
        </w:rPr>
        <w:t>管理人提供的单位净值进行估值，估值</w:t>
      </w:r>
      <w:proofErr w:type="gramStart"/>
      <w:r>
        <w:rPr>
          <w:rFonts w:asciiTheme="minorEastAsia" w:eastAsiaTheme="minorEastAsia" w:hAnsiTheme="minorEastAsia" w:hint="eastAsia"/>
          <w:bCs/>
          <w:sz w:val="18"/>
          <w:szCs w:val="18"/>
        </w:rPr>
        <w:t>日产品</w:t>
      </w:r>
      <w:proofErr w:type="gramEnd"/>
      <w:r>
        <w:rPr>
          <w:rFonts w:asciiTheme="minorEastAsia" w:eastAsiaTheme="minorEastAsia" w:hAnsiTheme="minorEastAsia" w:hint="eastAsia"/>
          <w:bCs/>
          <w:sz w:val="18"/>
          <w:szCs w:val="18"/>
        </w:rPr>
        <w:t>单位净值未提供的，可参考最近可获取的净值确定公允价值。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FC6DC4" w:rsidRDefault="00F86856">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FC6DC4" w:rsidRDefault="00F86856">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（五）估值程序</w:t>
      </w:r>
    </w:p>
    <w:p w:rsidR="00FC6DC4" w:rsidRDefault="00F86856">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w:t>
      </w:r>
      <w:proofErr w:type="gramStart"/>
      <w:r>
        <w:rPr>
          <w:rFonts w:asciiTheme="minorEastAsia" w:eastAsiaTheme="minorEastAsia" w:hAnsiTheme="minorEastAsia" w:hint="eastAsia"/>
          <w:color w:val="auto"/>
          <w:sz w:val="18"/>
          <w:szCs w:val="18"/>
        </w:rPr>
        <w:t>日产品</w:t>
      </w:r>
      <w:proofErr w:type="gramEnd"/>
      <w:r>
        <w:rPr>
          <w:rFonts w:asciiTheme="minorEastAsia" w:eastAsiaTheme="minorEastAsia" w:hAnsiTheme="minorEastAsia" w:hint="eastAsia"/>
          <w:color w:val="auto"/>
          <w:sz w:val="18"/>
          <w:szCs w:val="18"/>
        </w:rPr>
        <w:t>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FC6DC4" w:rsidRDefault="00F86856">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2.产品管理人对理财资产估值后，将产品份额净值发送产品托管人，经产品托管人复核无误后，由产</w:t>
      </w:r>
      <w:r>
        <w:rPr>
          <w:rFonts w:asciiTheme="minorEastAsia" w:eastAsiaTheme="minorEastAsia" w:hAnsiTheme="minorEastAsia"/>
          <w:sz w:val="18"/>
          <w:szCs w:val="18"/>
        </w:rPr>
        <w:lastRenderedPageBreak/>
        <w:t xml:space="preserve">品管理人按规定对外公布。 </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FC6DC4" w:rsidRDefault="00F86856">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FC6DC4" w:rsidRDefault="00F86856">
      <w:pPr>
        <w:widowControl/>
        <w:spacing w:line="360" w:lineRule="auto"/>
        <w:jc w:val="left"/>
        <w:rPr>
          <w:rFonts w:ascii="宋体" w:hAnsi="宋体"/>
          <w:kern w:val="0"/>
          <w:sz w:val="18"/>
          <w:szCs w:val="18"/>
        </w:rPr>
      </w:pPr>
      <w:r>
        <w:rPr>
          <w:rFonts w:hAnsi="宋体"/>
          <w:sz w:val="18"/>
          <w:szCs w:val="18"/>
        </w:rPr>
        <w:br w:type="page"/>
      </w:r>
    </w:p>
    <w:p w:rsidR="00FC6DC4" w:rsidRDefault="00F86856">
      <w:pPr>
        <w:pStyle w:val="1"/>
        <w:spacing w:before="0" w:after="0" w:line="360" w:lineRule="auto"/>
        <w:ind w:left="60" w:firstLine="10"/>
        <w:jc w:val="center"/>
        <w:rPr>
          <w:rFonts w:ascii="Times New Roman"/>
          <w:sz w:val="30"/>
        </w:rPr>
      </w:pPr>
      <w:bookmarkStart w:id="73" w:name="_Hlt70481650"/>
      <w:bookmarkStart w:id="74" w:name="_Toc139991737"/>
      <w:bookmarkStart w:id="75" w:name="_Toc123102454"/>
      <w:bookmarkStart w:id="76" w:name="_Toc98560353"/>
      <w:bookmarkStart w:id="77" w:name="_Toc26207"/>
      <w:bookmarkStart w:id="78" w:name="_Toc123051453"/>
      <w:bookmarkStart w:id="79" w:name="_Toc3138"/>
      <w:bookmarkStart w:id="80" w:name="_Toc31644"/>
      <w:bookmarkStart w:id="81" w:name="_Toc6405"/>
      <w:bookmarkStart w:id="82" w:name="_Toc31235"/>
      <w:bookmarkStart w:id="83" w:name="_Toc14835"/>
      <w:bookmarkStart w:id="84" w:name="_Toc3601"/>
      <w:bookmarkStart w:id="85" w:name="_Toc12245"/>
      <w:bookmarkStart w:id="86" w:name="_Toc31653"/>
      <w:bookmarkStart w:id="87" w:name="_Toc123112235"/>
      <w:bookmarkStart w:id="88" w:name="_Toc79154671"/>
      <w:bookmarkStart w:id="89" w:name="_Toc92377137"/>
      <w:bookmarkStart w:id="90" w:name="_Toc29251"/>
      <w:bookmarkStart w:id="91" w:name="_Toc74065744"/>
      <w:bookmarkStart w:id="92" w:name="_Toc15143"/>
      <w:bookmarkStart w:id="93" w:name="_Toc14170388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4" w:name="_Hlt55355235"/>
      <w:bookmarkStart w:id="95" w:name="_Toc523711668"/>
      <w:bookmarkStart w:id="96" w:name="_Toc79392580"/>
      <w:bookmarkStart w:id="97" w:name="_Toc57530239"/>
      <w:bookmarkStart w:id="98" w:name="_Toc1511823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FC6DC4" w:rsidRDefault="00F86856">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FC6DC4" w:rsidRDefault="00F86856">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FC6DC4" w:rsidRDefault="00F86856">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FC6DC4" w:rsidRDefault="00F86856">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FC6DC4" w:rsidRDefault="00F86856">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FC6DC4" w:rsidRDefault="00F86856">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3.产品管理人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rsidR="00FC6DC4" w:rsidRDefault="00F86856">
      <w:pPr>
        <w:spacing w:line="360" w:lineRule="auto"/>
        <w:ind w:firstLine="360"/>
        <w:rPr>
          <w:rFonts w:ascii="宋体" w:hAnsi="宋体"/>
          <w:b/>
          <w:sz w:val="18"/>
          <w:szCs w:val="18"/>
        </w:rPr>
      </w:pPr>
      <w:r>
        <w:rPr>
          <w:rFonts w:ascii="宋体" w:hAnsi="宋体" w:hint="eastAsia"/>
          <w:b/>
          <w:kern w:val="0"/>
          <w:sz w:val="18"/>
          <w:szCs w:val="18"/>
        </w:rPr>
        <w:t>（四）理财利益的分配</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1.理财利益的分配日</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w:t>
      </w:r>
      <w:r>
        <w:rPr>
          <w:rFonts w:hAnsi="宋体" w:hint="eastAsia"/>
          <w:color w:val="auto"/>
          <w:sz w:val="18"/>
          <w:szCs w:val="18"/>
        </w:rPr>
        <w:t>具体的理财利益分配以实际情况为准。</w:t>
      </w:r>
    </w:p>
    <w:p w:rsidR="00FC6DC4" w:rsidRDefault="00F86856">
      <w:pPr>
        <w:widowControl/>
        <w:spacing w:line="360" w:lineRule="auto"/>
        <w:jc w:val="left"/>
        <w:rPr>
          <w:rFonts w:ascii="宋体" w:hAnsi="宋体"/>
          <w:kern w:val="0"/>
          <w:sz w:val="18"/>
          <w:szCs w:val="18"/>
        </w:rPr>
      </w:pPr>
      <w:r>
        <w:rPr>
          <w:rFonts w:hAnsi="宋体"/>
          <w:sz w:val="18"/>
          <w:szCs w:val="18"/>
        </w:rPr>
        <w:br w:type="page"/>
      </w:r>
    </w:p>
    <w:p w:rsidR="00FC6DC4" w:rsidRDefault="00F86856">
      <w:pPr>
        <w:pStyle w:val="1"/>
        <w:spacing w:before="0" w:after="0" w:line="360" w:lineRule="auto"/>
        <w:jc w:val="center"/>
        <w:rPr>
          <w:rFonts w:ascii="Times New Roman"/>
          <w:sz w:val="30"/>
        </w:rPr>
      </w:pPr>
      <w:bookmarkStart w:id="99" w:name="_Hlt88897298"/>
      <w:bookmarkStart w:id="100" w:name="_Hlt88825574"/>
      <w:bookmarkStart w:id="101" w:name="_Toc7058"/>
      <w:bookmarkStart w:id="102" w:name="_Toc79392583"/>
      <w:bookmarkStart w:id="103" w:name="_Toc123102455"/>
      <w:bookmarkStart w:id="104" w:name="_Toc17110"/>
      <w:bookmarkStart w:id="105" w:name="_Toc139991738"/>
      <w:bookmarkStart w:id="106" w:name="_Toc6447"/>
      <w:bookmarkStart w:id="107" w:name="_Toc123051454"/>
      <w:bookmarkStart w:id="108" w:name="_Toc92377138"/>
      <w:bookmarkStart w:id="109" w:name="_Toc79154672"/>
      <w:bookmarkStart w:id="110" w:name="_Toc74065745"/>
      <w:bookmarkStart w:id="111" w:name="_Toc11030"/>
      <w:bookmarkStart w:id="112" w:name="_Toc123112236"/>
      <w:bookmarkStart w:id="113" w:name="_Toc3321"/>
      <w:bookmarkStart w:id="114" w:name="_Toc98560354"/>
      <w:bookmarkStart w:id="115" w:name="_Toc4559"/>
      <w:bookmarkStart w:id="116" w:name="_Toc25783"/>
      <w:bookmarkStart w:id="117" w:name="_Toc141703888"/>
      <w:bookmarkStart w:id="118" w:name="_Toc18567"/>
      <w:bookmarkStart w:id="119" w:name="_Toc3771"/>
      <w:bookmarkStart w:id="120" w:name="_Toc10650"/>
      <w:bookmarkStart w:id="121" w:name="_Toc9706"/>
      <w:bookmarkEnd w:id="95"/>
      <w:bookmarkEnd w:id="96"/>
      <w:bookmarkEnd w:id="97"/>
      <w:bookmarkEnd w:id="98"/>
      <w:bookmarkEnd w:id="99"/>
      <w:bookmarkEnd w:id="100"/>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FC6DC4" w:rsidRDefault="00F86856">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w:t>
      </w:r>
      <w:proofErr w:type="gramStart"/>
      <w:r>
        <w:rPr>
          <w:rFonts w:ascii="宋体" w:hAnsi="宋体" w:hint="eastAsia"/>
          <w:kern w:val="0"/>
          <w:sz w:val="18"/>
          <w:szCs w:val="18"/>
        </w:rPr>
        <w:t>验</w:t>
      </w:r>
      <w:proofErr w:type="gramEnd"/>
      <w:r>
        <w:rPr>
          <w:rFonts w:ascii="宋体" w:hAnsi="宋体" w:hint="eastAsia"/>
          <w:kern w:val="0"/>
          <w:sz w:val="18"/>
          <w:szCs w:val="18"/>
        </w:rPr>
        <w:t>资费、审计费、律师费、信息披露费、清算费、执行费用等相关费用；</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FC6DC4" w:rsidRDefault="00F86856">
      <w:pPr>
        <w:widowControl/>
        <w:spacing w:line="360" w:lineRule="auto"/>
        <w:ind w:firstLineChars="200" w:firstLine="360"/>
        <w:jc w:val="left"/>
        <w:rPr>
          <w:rStyle w:val="af2"/>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FC6DC4" w:rsidRDefault="00F86856">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FC6DC4" w:rsidRDefault="00F86856">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FC6DC4" w:rsidRDefault="00F86856">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每份产品份额在超额业绩报酬计提日时，若理财资产扣除销售服务费、产品托管费和投资管理费等相关费用后，超额业绩报酬计提日产品份额净值折算</w:t>
      </w:r>
      <w:proofErr w:type="gramStart"/>
      <w:r>
        <w:rPr>
          <w:rFonts w:ascii="宋体" w:hAnsi="宋体" w:hint="eastAsia"/>
          <w:kern w:val="0"/>
          <w:sz w:val="18"/>
          <w:szCs w:val="18"/>
        </w:rPr>
        <w:t>的年化收益率</w:t>
      </w:r>
      <w:proofErr w:type="gramEnd"/>
      <w:r>
        <w:rPr>
          <w:rFonts w:ascii="宋体" w:hAnsi="宋体" w:hint="eastAsia"/>
          <w:kern w:val="0"/>
          <w:sz w:val="18"/>
          <w:szCs w:val="18"/>
        </w:rPr>
        <w:t>超过业绩报酬计提基准，则产品管理人收取超出部分的一定比例作为超额业绩报酬。由此造成超额业绩报酬计提日产品份额净值调整的，以调整后的数值为准进行利益分配。</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超额业绩报酬的具体比例数值以《产品说明书》“第二条 理财产品基本情况”为准。</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1）收取超额业绩报酬的原则：</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①按投资者每份产品份额分别</w:t>
      </w:r>
      <w:proofErr w:type="gramStart"/>
      <w:r>
        <w:rPr>
          <w:rFonts w:ascii="宋体" w:hAnsi="宋体" w:hint="eastAsia"/>
          <w:kern w:val="0"/>
          <w:sz w:val="18"/>
          <w:szCs w:val="18"/>
        </w:rPr>
        <w:t>计算年化收益率</w:t>
      </w:r>
      <w:proofErr w:type="gramEnd"/>
      <w:r>
        <w:rPr>
          <w:rFonts w:ascii="宋体" w:hAnsi="宋体" w:hint="eastAsia"/>
          <w:kern w:val="0"/>
          <w:sz w:val="18"/>
          <w:szCs w:val="18"/>
        </w:rPr>
        <w:t>并计提超额业绩报酬；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②在超额业绩报酬计提日，本产品对符合超额业绩报酬提取条件的产品份额计提超额业绩报酬；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③在每个赎回日提取超额业绩报酬的，超额业绩报酬从理财资金中扣除；在产品终止日提取超额业绩报酬的，超额业绩报酬从清算资金中扣除。</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2）超额业绩报酬计提方法</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①超额业绩报酬计提日</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每份产品份额超额业绩报酬计提日为每个赎回日或产品终止日。</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②超额业绩报酬的计算</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产品管理人对每份产品</w:t>
      </w:r>
      <w:proofErr w:type="gramStart"/>
      <w:r>
        <w:rPr>
          <w:rFonts w:ascii="宋体" w:hAnsi="宋体" w:hint="eastAsia"/>
          <w:kern w:val="0"/>
          <w:sz w:val="18"/>
          <w:szCs w:val="18"/>
        </w:rPr>
        <w:t>份额年化收益率</w:t>
      </w:r>
      <w:proofErr w:type="gramEnd"/>
      <w:r>
        <w:rPr>
          <w:rFonts w:ascii="宋体" w:hAnsi="宋体" w:hint="eastAsia"/>
          <w:kern w:val="0"/>
          <w:sz w:val="18"/>
          <w:szCs w:val="18"/>
        </w:rPr>
        <w:t>（R）超过当期业绩报酬计提基准的部分，按比例（N）以及该份产品份额当期投资周期天数（D）提取超额业绩报酬，计算方法如下：</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当R≤当期业绩报酬计提基准，超额业绩报酬=0；</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当R＞当期业绩报酬计提基准，超额业绩报酬=投资者持有的产品份额数量×产品成立日或当期投资周期产品份额申购日的产品份额净值×（R-当期业绩报酬计提基准）×N×D/365；</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w:t>
      </w:r>
      <w:proofErr w:type="gramStart"/>
      <w:r>
        <w:rPr>
          <w:rFonts w:ascii="宋体" w:hAnsi="宋体" w:hint="eastAsia"/>
          <w:kern w:val="0"/>
          <w:sz w:val="18"/>
          <w:szCs w:val="18"/>
        </w:rPr>
        <w:t>托管费</w:t>
      </w:r>
      <w:r>
        <w:rPr>
          <w:rFonts w:ascii="宋体" w:hAnsi="宋体"/>
          <w:kern w:val="0"/>
          <w:sz w:val="18"/>
          <w:szCs w:val="18"/>
        </w:rPr>
        <w:t>年费率</w:t>
      </w:r>
      <w:proofErr w:type="gramEnd"/>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proofErr w:type="gramStart"/>
      <w:r>
        <w:rPr>
          <w:rFonts w:ascii="宋体" w:hAnsi="宋体"/>
          <w:kern w:val="0"/>
          <w:sz w:val="18"/>
          <w:szCs w:val="18"/>
        </w:rPr>
        <w:t>验</w:t>
      </w:r>
      <w:proofErr w:type="gramEnd"/>
      <w:r>
        <w:rPr>
          <w:rFonts w:ascii="宋体" w:hAnsi="宋体"/>
          <w:kern w:val="0"/>
          <w:sz w:val="18"/>
          <w:szCs w:val="18"/>
        </w:rPr>
        <w:t>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FC6DC4" w:rsidRDefault="00F86856">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FC6DC4" w:rsidRDefault="00F86856">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FC6DC4" w:rsidRDefault="00F86856">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w:t>
      </w:r>
      <w:proofErr w:type="gramStart"/>
      <w:r>
        <w:rPr>
          <w:rFonts w:ascii="黑体" w:eastAsia="黑体" w:hAnsi="黑体" w:hint="eastAsia"/>
          <w:bCs/>
          <w:color w:val="auto"/>
          <w:sz w:val="18"/>
        </w:rPr>
        <w:t>定进行</w:t>
      </w:r>
      <w:proofErr w:type="gramEnd"/>
      <w:r>
        <w:rPr>
          <w:rFonts w:ascii="黑体" w:eastAsia="黑体" w:hAnsi="黑体" w:hint="eastAsia"/>
          <w:bCs/>
          <w:color w:val="auto"/>
          <w:sz w:val="18"/>
        </w:rPr>
        <w:t>公告。</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FC6DC4" w:rsidRDefault="00F86856">
      <w:pPr>
        <w:pStyle w:val="1"/>
        <w:spacing w:line="360" w:lineRule="auto"/>
        <w:jc w:val="center"/>
      </w:pPr>
      <w:bookmarkStart w:id="122" w:name="_Toc3963"/>
      <w:bookmarkStart w:id="123" w:name="_Toc1745"/>
      <w:r>
        <w:br w:type="page"/>
      </w:r>
      <w:bookmarkStart w:id="124" w:name="_Toc10398"/>
      <w:bookmarkStart w:id="125" w:name="_Toc725"/>
      <w:bookmarkStart w:id="126" w:name="_Toc123051455"/>
      <w:bookmarkStart w:id="127" w:name="_Toc3080"/>
      <w:bookmarkStart w:id="128" w:name="_Toc141703889"/>
      <w:bookmarkStart w:id="129" w:name="_Toc16164"/>
      <w:bookmarkStart w:id="130" w:name="_Toc4606"/>
      <w:bookmarkStart w:id="131" w:name="_Toc74065746"/>
      <w:bookmarkStart w:id="132" w:name="_Toc21735"/>
      <w:bookmarkStart w:id="133" w:name="_Toc139991739"/>
      <w:bookmarkStart w:id="134" w:name="_Toc98560355"/>
      <w:bookmarkStart w:id="135" w:name="_Toc92377139"/>
      <w:bookmarkStart w:id="136" w:name="_Toc18206"/>
      <w:bookmarkStart w:id="137" w:name="_Toc31821"/>
      <w:bookmarkStart w:id="138" w:name="_Toc79154673"/>
      <w:bookmarkStart w:id="139" w:name="_Toc123112237"/>
      <w:bookmarkStart w:id="140" w:name="_Toc3572"/>
      <w:bookmarkStart w:id="141" w:name="_Toc123102456"/>
      <w:r>
        <w:rPr>
          <w:rFonts w:hint="eastAsia"/>
          <w:sz w:val="30"/>
        </w:rPr>
        <w:lastRenderedPageBreak/>
        <w:t>第十条</w:t>
      </w:r>
      <w:r>
        <w:rPr>
          <w:sz w:val="30"/>
        </w:rPr>
        <w:t xml:space="preserve">  </w:t>
      </w:r>
      <w:r>
        <w:rPr>
          <w:rFonts w:hint="eastAsia"/>
          <w:sz w:val="30"/>
        </w:rPr>
        <w:t>理财产品的终止与清算</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FC6DC4" w:rsidRDefault="00F86856">
      <w:pPr>
        <w:spacing w:line="360" w:lineRule="auto"/>
        <w:ind w:firstLineChars="200" w:firstLine="361"/>
        <w:rPr>
          <w:rFonts w:asciiTheme="majorEastAsia" w:eastAsiaTheme="majorEastAsia" w:hAnsiTheme="majorEastAsia"/>
          <w:b/>
          <w:bCs/>
          <w:sz w:val="18"/>
          <w:szCs w:val="18"/>
        </w:rPr>
      </w:pPr>
      <w:bookmarkStart w:id="142" w:name="_Toc79392593"/>
      <w:bookmarkStart w:id="143" w:name="_Toc57530252"/>
      <w:bookmarkStart w:id="144" w:name="_Toc15118245"/>
      <w:r>
        <w:rPr>
          <w:rFonts w:asciiTheme="majorEastAsia" w:eastAsiaTheme="majorEastAsia" w:hAnsiTheme="majorEastAsia" w:hint="eastAsia"/>
          <w:b/>
          <w:bCs/>
          <w:sz w:val="18"/>
          <w:szCs w:val="18"/>
        </w:rPr>
        <w:t>（一）理财产品的终止</w:t>
      </w:r>
    </w:p>
    <w:p w:rsidR="00FC6DC4" w:rsidRDefault="00F86856">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w:t>
      </w:r>
      <w:proofErr w:type="gramStart"/>
      <w:r>
        <w:rPr>
          <w:rFonts w:asciiTheme="majorEastAsia" w:eastAsiaTheme="majorEastAsia" w:hAnsiTheme="majorEastAsia" w:hint="eastAsia"/>
          <w:bCs/>
          <w:sz w:val="18"/>
          <w:szCs w:val="18"/>
        </w:rPr>
        <w:t>方主体</w:t>
      </w:r>
      <w:proofErr w:type="gramEnd"/>
      <w:r>
        <w:rPr>
          <w:rFonts w:asciiTheme="majorEastAsia" w:eastAsiaTheme="majorEastAsia" w:hAnsiTheme="majorEastAsia" w:hint="eastAsia"/>
          <w:bCs/>
          <w:sz w:val="18"/>
          <w:szCs w:val="18"/>
        </w:rPr>
        <w:t>实施符合法律法规规定或协议等相关文件约定的行为导致理财产品被动提前终止。</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rsidR="00FC6DC4" w:rsidRDefault="00F86856">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FC6DC4" w:rsidRDefault="00F8685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w:t>
      </w:r>
      <w:r>
        <w:rPr>
          <w:rFonts w:asciiTheme="majorEastAsia" w:eastAsiaTheme="majorEastAsia" w:hAnsiTheme="majorEastAsia" w:hint="eastAsia"/>
          <w:bCs/>
          <w:sz w:val="18"/>
          <w:szCs w:val="18"/>
        </w:rPr>
        <w:lastRenderedPageBreak/>
        <w:t>清算期不计算投资收益。理财资产清算后扣除理财相关费用、缴纳所欠税款并清偿理财产品负债后，理财利益按投资者持有的理财产品份额比例进行分配。清算期原则上不得超过【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工作日的，</w:t>
      </w:r>
      <w:r>
        <w:rPr>
          <w:rFonts w:asciiTheme="majorEastAsia" w:eastAsiaTheme="majorEastAsia" w:hAnsiTheme="majorEastAsia"/>
          <w:bCs/>
          <w:sz w:val="18"/>
          <w:szCs w:val="18"/>
        </w:rPr>
        <w:t>将依约</w:t>
      </w:r>
      <w:proofErr w:type="gramStart"/>
      <w:r>
        <w:rPr>
          <w:rFonts w:asciiTheme="majorEastAsia" w:eastAsiaTheme="majorEastAsia" w:hAnsiTheme="majorEastAsia" w:hint="eastAsia"/>
          <w:bCs/>
          <w:sz w:val="18"/>
          <w:szCs w:val="18"/>
        </w:rPr>
        <w:t>定进行</w:t>
      </w:r>
      <w:proofErr w:type="gramEnd"/>
      <w:r>
        <w:rPr>
          <w:rFonts w:asciiTheme="majorEastAsia" w:eastAsiaTheme="majorEastAsia" w:hAnsiTheme="majorEastAsia" w:hint="eastAsia"/>
          <w:bCs/>
          <w:sz w:val="18"/>
          <w:szCs w:val="18"/>
        </w:rPr>
        <w:t>公告。</w:t>
      </w:r>
      <w:r>
        <w:rPr>
          <w:rFonts w:asciiTheme="majorEastAsia" w:eastAsiaTheme="majorEastAsia" w:hAnsiTheme="majorEastAsia"/>
          <w:bCs/>
          <w:sz w:val="18"/>
          <w:szCs w:val="18"/>
        </w:rPr>
        <w:t xml:space="preserve"> </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工作日内将已变现资产按投资者持有理财产品份额比例分配。理财产品终止</w:t>
      </w:r>
      <w:proofErr w:type="gramStart"/>
      <w:r>
        <w:rPr>
          <w:rFonts w:asciiTheme="majorEastAsia" w:eastAsiaTheme="majorEastAsia" w:hAnsiTheme="majorEastAsia" w:hint="eastAsia"/>
          <w:bCs/>
          <w:sz w:val="18"/>
          <w:szCs w:val="18"/>
        </w:rPr>
        <w:t>日相应</w:t>
      </w:r>
      <w:proofErr w:type="gramEnd"/>
      <w:r>
        <w:rPr>
          <w:rFonts w:asciiTheme="majorEastAsia" w:eastAsiaTheme="majorEastAsia" w:hAnsiTheme="majorEastAsia" w:hint="eastAsia"/>
          <w:bCs/>
          <w:sz w:val="18"/>
          <w:szCs w:val="18"/>
        </w:rPr>
        <w:t>顺延至理财产品全部变现之日。待全部资产变现后，产品管理人依照清算条款分配理财利益至投资者账户。</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142"/>
    <w:bookmarkEnd w:id="143"/>
    <w:bookmarkEnd w:id="144"/>
    <w:p w:rsidR="00FC6DC4" w:rsidRDefault="00F86856">
      <w:pPr>
        <w:pStyle w:val="1"/>
        <w:spacing w:before="0" w:after="0" w:line="360" w:lineRule="auto"/>
        <w:jc w:val="center"/>
        <w:rPr>
          <w:rFonts w:ascii="Times New Roman"/>
          <w:sz w:val="18"/>
          <w:szCs w:val="18"/>
        </w:rPr>
      </w:pPr>
      <w:r>
        <w:rPr>
          <w:rFonts w:ascii="Times New Roman"/>
          <w:b w:val="0"/>
          <w:bCs w:val="0"/>
          <w:kern w:val="2"/>
        </w:rPr>
        <w:br w:type="page"/>
      </w:r>
      <w:bookmarkStart w:id="145" w:name="_Toc11469"/>
      <w:bookmarkStart w:id="146" w:name="_Toc92377140"/>
      <w:bookmarkStart w:id="147" w:name="_Toc17198"/>
      <w:bookmarkStart w:id="148" w:name="_Toc123112238"/>
      <w:bookmarkStart w:id="149" w:name="_Toc32584"/>
      <w:bookmarkStart w:id="150" w:name="_Toc74065747"/>
      <w:bookmarkStart w:id="151" w:name="_Toc123102457"/>
      <w:bookmarkStart w:id="152" w:name="_Toc3329"/>
      <w:bookmarkStart w:id="153" w:name="_Toc141703890"/>
      <w:bookmarkStart w:id="154" w:name="_Toc123051456"/>
      <w:bookmarkStart w:id="155" w:name="_Toc17920"/>
      <w:bookmarkStart w:id="156" w:name="_Toc79392622"/>
      <w:bookmarkStart w:id="157" w:name="_Toc79154674"/>
      <w:bookmarkStart w:id="158" w:name="_Toc8791"/>
      <w:bookmarkStart w:id="159" w:name="_Toc739"/>
      <w:bookmarkStart w:id="160" w:name="_Toc32092"/>
      <w:bookmarkStart w:id="161" w:name="_Toc139991740"/>
      <w:bookmarkStart w:id="162" w:name="_Toc5170"/>
      <w:bookmarkStart w:id="163" w:name="_Toc29408"/>
      <w:bookmarkStart w:id="164" w:name="_Toc48649708"/>
      <w:bookmarkStart w:id="165" w:name="_Toc83391975"/>
      <w:bookmarkStart w:id="166" w:name="_Toc98560356"/>
      <w:bookmarkStart w:id="167" w:name="_Toc21237"/>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5"/>
      <w:bookmarkEnd w:id="146"/>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FC6DC4" w:rsidRDefault="00F86856">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rsidR="00FC6DC4" w:rsidRDefault="00F86856">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通过兴业银行或销售机构的信息披露渠道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w:t>
      </w:r>
      <w:proofErr w:type="gramStart"/>
      <w:r>
        <w:rPr>
          <w:rFonts w:ascii="黑体" w:eastAsia="黑体" w:hAnsi="黑体"/>
          <w:bCs/>
          <w:sz w:val="18"/>
          <w:szCs w:val="18"/>
        </w:rPr>
        <w:t>已适当</w:t>
      </w:r>
      <w:proofErr w:type="gramEnd"/>
      <w:r>
        <w:rPr>
          <w:rFonts w:ascii="黑体" w:eastAsia="黑体" w:hAnsi="黑体"/>
          <w:bCs/>
          <w:sz w:val="18"/>
          <w:szCs w:val="18"/>
        </w:rPr>
        <w:t>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proofErr w:type="gramStart"/>
      <w:r>
        <w:rPr>
          <w:rFonts w:ascii="宋体" w:hAnsi="宋体" w:hint="eastAsia"/>
          <w:bCs/>
          <w:sz w:val="18"/>
          <w:szCs w:val="18"/>
        </w:rPr>
        <w:t>已适当</w:t>
      </w:r>
      <w:proofErr w:type="gramEnd"/>
      <w:r>
        <w:rPr>
          <w:rFonts w:ascii="宋体" w:hAnsi="宋体" w:hint="eastAsia"/>
          <w:bCs/>
          <w:sz w:val="18"/>
          <w:szCs w:val="18"/>
        </w:rPr>
        <w:t>披露理财产品相关信息。投资者承诺将及时接收、浏览和阅读该等信息。如投资者对本产品的运作状况有任何疑问，可向产品管理人或销售机构进行咨询。</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1.产品成立公告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3.定期报告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4.到期公告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5.开放日公告</w:t>
      </w:r>
    </w:p>
    <w:p w:rsidR="00FC6DC4" w:rsidRDefault="00F86856">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的产品份额净值、产品份额累计净值、业绩比较基准（如有）、业绩报酬计提基准（如有）等。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ascii="宋体" w:hAnsi="宋体" w:hint="eastAsia"/>
          <w:bCs/>
          <w:sz w:val="18"/>
          <w:szCs w:val="18"/>
        </w:rPr>
        <w:t>基准</w:t>
      </w:r>
      <w:r>
        <w:rPr>
          <w:rFonts w:ascii="宋体" w:hAnsi="宋体"/>
          <w:bCs/>
          <w:sz w:val="18"/>
          <w:szCs w:val="18"/>
        </w:rPr>
        <w:t>（</w:t>
      </w:r>
      <w:r>
        <w:rPr>
          <w:rFonts w:ascii="宋体" w:hAnsi="宋体" w:hint="eastAsia"/>
          <w:bCs/>
          <w:sz w:val="18"/>
          <w:szCs w:val="18"/>
        </w:rPr>
        <w:t>如有</w:t>
      </w:r>
      <w:r>
        <w:rPr>
          <w:rFonts w:ascii="宋体" w:hAnsi="宋体"/>
          <w:bCs/>
          <w:sz w:val="18"/>
          <w:szCs w:val="18"/>
        </w:rPr>
        <w:t>）</w:t>
      </w:r>
      <w:r>
        <w:rPr>
          <w:rFonts w:ascii="宋体" w:hAnsi="宋体" w:hint="eastAsia"/>
          <w:bCs/>
          <w:sz w:val="18"/>
          <w:szCs w:val="18"/>
        </w:rPr>
        <w:t>等。如遇法定节假日顺延。此外，如遇其他特殊情况，以产品管理人信息披露为准。</w:t>
      </w:r>
      <w:r>
        <w:rPr>
          <w:rFonts w:ascii="宋体" w:hAnsi="宋体"/>
          <w:bCs/>
          <w:sz w:val="18"/>
          <w:szCs w:val="18"/>
        </w:rPr>
        <w:t xml:space="preserve"> </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7.临时公告</w:t>
      </w:r>
    </w:p>
    <w:p w:rsidR="00FC6DC4" w:rsidRDefault="00F86856">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FC6DC4" w:rsidRDefault="00F86856">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w:t>
      </w:r>
      <w:proofErr w:type="gramStart"/>
      <w:r>
        <w:rPr>
          <w:rFonts w:ascii="黑体" w:eastAsia="黑体" w:hAnsi="黑体" w:hint="eastAsia"/>
          <w:b/>
          <w:bCs/>
          <w:sz w:val="18"/>
          <w:szCs w:val="18"/>
        </w:rPr>
        <w:t>若相关</w:t>
      </w:r>
      <w:proofErr w:type="gramEnd"/>
      <w:r>
        <w:rPr>
          <w:rFonts w:ascii="黑体" w:eastAsia="黑体" w:hAnsi="黑体" w:hint="eastAsia"/>
          <w:b/>
          <w:bCs/>
          <w:sz w:val="18"/>
          <w:szCs w:val="18"/>
        </w:rPr>
        <w:t>基准数值发生变更的，不再另行发布公告。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w:t>
      </w:r>
      <w:proofErr w:type="gramStart"/>
      <w:r>
        <w:rPr>
          <w:rFonts w:ascii="宋体" w:hAnsi="宋体" w:hint="eastAsia"/>
          <w:bCs/>
          <w:sz w:val="18"/>
          <w:szCs w:val="18"/>
        </w:rPr>
        <w:t>拟采取</w:t>
      </w:r>
      <w:proofErr w:type="gramEnd"/>
      <w:r>
        <w:rPr>
          <w:rFonts w:ascii="宋体" w:hAnsi="宋体" w:hint="eastAsia"/>
          <w:bCs/>
          <w:sz w:val="18"/>
          <w:szCs w:val="18"/>
        </w:rPr>
        <w:t>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FC6DC4" w:rsidRDefault="00F86856">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FC6DC4" w:rsidRDefault="00F86856">
      <w:pPr>
        <w:spacing w:line="360" w:lineRule="auto"/>
        <w:ind w:firstLineChars="200" w:firstLine="361"/>
        <w:rPr>
          <w:bCs/>
          <w:sz w:val="24"/>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w:t>
      </w:r>
      <w:proofErr w:type="gramStart"/>
      <w:r>
        <w:rPr>
          <w:rFonts w:ascii="黑体" w:eastAsia="黑体" w:hAnsi="黑体" w:hint="eastAsia"/>
          <w:b/>
          <w:bCs/>
          <w:sz w:val="18"/>
          <w:szCs w:val="18"/>
        </w:rPr>
        <w:t>若构成</w:t>
      </w:r>
      <w:proofErr w:type="gramEnd"/>
      <w:r>
        <w:rPr>
          <w:rFonts w:ascii="黑体" w:eastAsia="黑体" w:hAnsi="黑体" w:hint="eastAsia"/>
          <w:b/>
          <w:bCs/>
          <w:sz w:val="18"/>
          <w:szCs w:val="18"/>
        </w:rPr>
        <w:t>对投资者利益产生实质性不利影响或涉及当事人权利义务的重大变更的，投资者有权不接受变更，并可按照理财产品销售文件约定的方式退出（若为封闭式理</w:t>
      </w:r>
      <w:r>
        <w:rPr>
          <w:rFonts w:ascii="黑体" w:eastAsia="黑体" w:hAnsi="黑体" w:hint="eastAsia"/>
          <w:b/>
          <w:bCs/>
          <w:sz w:val="18"/>
          <w:szCs w:val="18"/>
        </w:rPr>
        <w:lastRenderedPageBreak/>
        <w:t>财产品的，在符合法律法规及监管政策的前提下，可由管理人另行决定投资者的退出方式）。若投资者未选择退出本产品的，则视为已理解并接受管理人的相应变更。</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Pr>
          <w:sz w:val="24"/>
        </w:rPr>
        <w:br w:type="page"/>
      </w:r>
    </w:p>
    <w:p w:rsidR="00FC6DC4" w:rsidRDefault="00F86856">
      <w:pPr>
        <w:pStyle w:val="1"/>
        <w:spacing w:before="0" w:after="0" w:line="360" w:lineRule="auto"/>
        <w:jc w:val="center"/>
        <w:rPr>
          <w:rFonts w:ascii="Times New Roman"/>
          <w:b w:val="0"/>
          <w:sz w:val="30"/>
        </w:rPr>
      </w:pPr>
      <w:bookmarkStart w:id="168" w:name="_Toc92377141"/>
      <w:bookmarkStart w:id="169" w:name="_Toc79154675"/>
      <w:bookmarkStart w:id="170" w:name="_Toc24766"/>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8"/>
      <w:bookmarkEnd w:id="169"/>
      <w:bookmarkEnd w:id="170"/>
    </w:p>
    <w:p w:rsidR="00FC6DC4" w:rsidRDefault="00F86856">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1.拟投资市场和资产的风险：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（1）投资固定收益类资产的风险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1）投资标准化债权类资产的风险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2）投资非标准化债权类资产的风险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本产品投资非标债权类资产时可能面临以下风险：由于融资主体/增</w:t>
      </w:r>
      <w:proofErr w:type="gramStart"/>
      <w:r>
        <w:rPr>
          <w:rFonts w:ascii="宋体" w:hAnsi="宋体" w:hint="eastAsia"/>
          <w:bCs/>
          <w:sz w:val="18"/>
          <w:szCs w:val="18"/>
        </w:rPr>
        <w:t>信主体</w:t>
      </w:r>
      <w:proofErr w:type="gramEnd"/>
      <w:r>
        <w:rPr>
          <w:rFonts w:ascii="宋体" w:hAnsi="宋体" w:hint="eastAsia"/>
          <w:bCs/>
          <w:sz w:val="18"/>
          <w:szCs w:val="18"/>
        </w:rPr>
        <w:t>/其他义务人还款履约能力可能的变化导致的信用风险（包括但不限于：融资主体提前还款、延期还款或逾期还款的风险；增</w:t>
      </w:r>
      <w:proofErr w:type="gramStart"/>
      <w:r>
        <w:rPr>
          <w:rFonts w:ascii="宋体" w:hAnsi="宋体" w:hint="eastAsia"/>
          <w:bCs/>
          <w:sz w:val="18"/>
          <w:szCs w:val="18"/>
        </w:rPr>
        <w:t>信主体</w:t>
      </w:r>
      <w:proofErr w:type="gramEnd"/>
      <w:r>
        <w:rPr>
          <w:rFonts w:ascii="宋体" w:hAnsi="宋体" w:hint="eastAsia"/>
          <w:bCs/>
          <w:sz w:val="18"/>
          <w:szCs w:val="18"/>
        </w:rPr>
        <w:t>未能履行增信义务（例如：保证担保、差额补足、远期回购、流动性</w:t>
      </w:r>
      <w:proofErr w:type="gramStart"/>
      <w:r>
        <w:rPr>
          <w:rFonts w:ascii="宋体" w:hAnsi="宋体" w:hint="eastAsia"/>
          <w:bCs/>
          <w:sz w:val="18"/>
          <w:szCs w:val="18"/>
        </w:rPr>
        <w:t>支持等增信</w:t>
      </w:r>
      <w:proofErr w:type="gramEnd"/>
      <w:r>
        <w:rPr>
          <w:rFonts w:ascii="宋体" w:hAnsi="宋体" w:hint="eastAsia"/>
          <w:bCs/>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 xml:space="preserve">（2）投资权益类资产的风险 </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1）投资股票类资产的风险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2）投资股权类资产的风险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 xml:space="preserve">（3）投资商品和金融衍生品类资产的风险 </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w:t>
      </w:r>
      <w:r>
        <w:rPr>
          <w:rFonts w:ascii="宋体" w:hAnsi="宋体" w:hint="eastAsia"/>
          <w:bCs/>
          <w:sz w:val="18"/>
          <w:szCs w:val="18"/>
        </w:rPr>
        <w:lastRenderedPageBreak/>
        <w:t>失以及交易成本损失的情况，对投资产生不利影响；当本产品投资的衍生品保证金不足时，可能使所持有的头寸面临被强制平仓的风险。</w:t>
      </w:r>
    </w:p>
    <w:p w:rsidR="00FC6DC4" w:rsidRDefault="00F86856">
      <w:pPr>
        <w:spacing w:line="360" w:lineRule="auto"/>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FC6DC4" w:rsidRDefault="00F86856">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FC6DC4" w:rsidRDefault="00F8685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FC6DC4" w:rsidRDefault="00F86856">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FC6DC4" w:rsidRDefault="00F86856">
      <w:pPr>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Pr>
          <w:rFonts w:ascii="宋体" w:hAnsi="宋体" w:hint="eastAsia"/>
          <w:sz w:val="18"/>
          <w:szCs w:val="18"/>
        </w:rPr>
        <w:t>品投资</w:t>
      </w:r>
      <w:proofErr w:type="gramEnd"/>
      <w:r>
        <w:rPr>
          <w:rFonts w:ascii="宋体" w:hAnsi="宋体" w:hint="eastAsia"/>
          <w:sz w:val="18"/>
          <w:szCs w:val="18"/>
        </w:rPr>
        <w:t>风险等。</w:t>
      </w:r>
    </w:p>
    <w:p w:rsidR="00FC6DC4" w:rsidRDefault="00F86856">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w:t>
      </w:r>
      <w:proofErr w:type="gramStart"/>
      <w:r>
        <w:rPr>
          <w:rFonts w:ascii="宋体" w:hAnsi="宋体" w:hint="eastAsia"/>
          <w:sz w:val="18"/>
          <w:szCs w:val="18"/>
        </w:rPr>
        <w:t>现及其</w:t>
      </w:r>
      <w:proofErr w:type="gramEnd"/>
      <w:r>
        <w:rPr>
          <w:rFonts w:ascii="宋体" w:hAnsi="宋体" w:hint="eastAsia"/>
          <w:sz w:val="18"/>
          <w:szCs w:val="18"/>
        </w:rPr>
        <w:t>他流动性风险。</w:t>
      </w:r>
    </w:p>
    <w:p w:rsidR="00FC6DC4" w:rsidRDefault="00F86856">
      <w:pPr>
        <w:spacing w:line="360" w:lineRule="auto"/>
        <w:ind w:firstLineChars="200" w:firstLine="360"/>
        <w:rPr>
          <w:rFonts w:ascii="宋体" w:hAnsi="宋体"/>
          <w:sz w:val="18"/>
          <w:szCs w:val="18"/>
        </w:rPr>
      </w:pPr>
      <w:r>
        <w:rPr>
          <w:rFonts w:ascii="宋体" w:hAnsi="宋体"/>
          <w:sz w:val="18"/>
          <w:szCs w:val="18"/>
        </w:rPr>
        <w:t>5</w:t>
      </w:r>
      <w:r>
        <w:rPr>
          <w:rFonts w:ascii="宋体" w:hAnsi="宋体" w:hint="eastAsia"/>
          <w:sz w:val="18"/>
          <w:szCs w:val="18"/>
        </w:rPr>
        <w:t>.</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FC6DC4" w:rsidRDefault="00F86856">
      <w:pPr>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FC6DC4" w:rsidRDefault="00F86856">
      <w:pPr>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w:t>
      </w:r>
      <w:proofErr w:type="gramStart"/>
      <w:r>
        <w:rPr>
          <w:rFonts w:ascii="宋体" w:hAnsi="宋体"/>
          <w:sz w:val="18"/>
          <w:szCs w:val="18"/>
        </w:rPr>
        <w:t>早偿风险</w:t>
      </w:r>
      <w:proofErr w:type="gramEnd"/>
      <w:r>
        <w:rPr>
          <w:rFonts w:ascii="宋体" w:hAnsi="宋体"/>
          <w:sz w:val="18"/>
          <w:szCs w:val="18"/>
        </w:rPr>
        <w:t>：</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FC6DC4" w:rsidRDefault="00F86856">
      <w:pPr>
        <w:spacing w:line="360" w:lineRule="auto"/>
        <w:ind w:firstLineChars="200" w:firstLine="360"/>
        <w:rPr>
          <w:rFonts w:ascii="黑体" w:eastAsia="黑体" w:hAnsi="黑体"/>
          <w:sz w:val="18"/>
          <w:szCs w:val="18"/>
        </w:rPr>
      </w:pPr>
      <w:r>
        <w:rPr>
          <w:rFonts w:ascii="黑体" w:eastAsia="黑体" w:hAnsi="黑体"/>
          <w:sz w:val="18"/>
          <w:szCs w:val="18"/>
        </w:rPr>
        <w:t>8.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w:t>
      </w:r>
      <w:r>
        <w:rPr>
          <w:rFonts w:ascii="黑体" w:eastAsia="黑体" w:hAnsi="黑体"/>
          <w:sz w:val="18"/>
          <w:szCs w:val="18"/>
        </w:rPr>
        <w:lastRenderedPageBreak/>
        <w:t>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FC6DC4" w:rsidRDefault="00F86856">
      <w:pPr>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rsidR="00FC6DC4" w:rsidRDefault="00F86856">
      <w:pPr>
        <w:spacing w:line="360" w:lineRule="auto"/>
        <w:ind w:firstLineChars="200" w:firstLine="360"/>
        <w:rPr>
          <w:rFonts w:ascii="宋体" w:hAnsi="宋体"/>
          <w:bCs/>
          <w:sz w:val="18"/>
          <w:szCs w:val="18"/>
        </w:rPr>
      </w:pPr>
      <w:r>
        <w:rPr>
          <w:rFonts w:ascii="宋体" w:hAnsi="宋体"/>
          <w:sz w:val="18"/>
          <w:szCs w:val="18"/>
        </w:rPr>
        <w:t>10</w:t>
      </w:r>
      <w:r>
        <w:rPr>
          <w:rFonts w:ascii="宋体" w:hAnsi="宋体" w:hint="eastAsia"/>
          <w:sz w:val="18"/>
          <w:szCs w:val="18"/>
        </w:rPr>
        <w:t>.</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rsidR="00FC6DC4" w:rsidRDefault="00F86856">
      <w:pPr>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.理财产品不成立风险：如自本产品开始募集至认购期结束</w:t>
      </w:r>
      <w:proofErr w:type="gramStart"/>
      <w:r>
        <w:rPr>
          <w:rFonts w:ascii="宋体" w:hAnsi="宋体" w:hint="eastAsia"/>
          <w:sz w:val="18"/>
          <w:szCs w:val="18"/>
        </w:rPr>
        <w:t>认购总</w:t>
      </w:r>
      <w:proofErr w:type="gramEnd"/>
      <w:r>
        <w:rPr>
          <w:rFonts w:ascii="宋体" w:hAnsi="宋体" w:hint="eastAsia"/>
          <w:sz w:val="18"/>
          <w:szCs w:val="18"/>
        </w:rPr>
        <w:t>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FC6DC4" w:rsidRDefault="00F86856">
      <w:pPr>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FC6DC4" w:rsidRDefault="00F86856">
      <w:pPr>
        <w:spacing w:line="360" w:lineRule="auto"/>
        <w:ind w:firstLineChars="200" w:firstLine="360"/>
        <w:rPr>
          <w:rFonts w:ascii="宋体" w:hAnsi="宋体"/>
          <w:sz w:val="18"/>
          <w:szCs w:val="18"/>
        </w:rPr>
      </w:pPr>
      <w:r>
        <w:rPr>
          <w:rFonts w:ascii="宋体" w:hAnsi="宋体"/>
          <w:sz w:val="18"/>
          <w:szCs w:val="18"/>
        </w:rPr>
        <w:t>13.估值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FC6DC4" w:rsidRDefault="00F86856">
      <w:pPr>
        <w:spacing w:line="360" w:lineRule="auto"/>
        <w:ind w:firstLineChars="200" w:firstLine="360"/>
        <w:rPr>
          <w:rFonts w:ascii="宋体" w:hAnsi="宋体"/>
          <w:sz w:val="18"/>
          <w:szCs w:val="18"/>
        </w:rPr>
      </w:pPr>
      <w:r>
        <w:rPr>
          <w:rFonts w:ascii="宋体" w:hAnsi="宋体"/>
          <w:sz w:val="18"/>
          <w:szCs w:val="18"/>
        </w:rPr>
        <w:t>14</w:t>
      </w:r>
      <w:r>
        <w:rPr>
          <w:rFonts w:ascii="宋体" w:hAnsi="宋体" w:hint="eastAsia"/>
          <w:sz w:val="18"/>
          <w:szCs w:val="18"/>
        </w:rPr>
        <w:t>.</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FC6DC4" w:rsidRDefault="00F86856">
      <w:pPr>
        <w:spacing w:line="360" w:lineRule="auto"/>
        <w:ind w:firstLineChars="200" w:firstLine="360"/>
        <w:rPr>
          <w:rFonts w:ascii="宋体" w:hAnsi="宋体"/>
          <w:sz w:val="18"/>
          <w:szCs w:val="18"/>
        </w:rPr>
      </w:pPr>
      <w:r>
        <w:rPr>
          <w:rFonts w:ascii="宋体" w:hAnsi="宋体"/>
          <w:sz w:val="18"/>
          <w:szCs w:val="18"/>
        </w:rPr>
        <w:t>15</w:t>
      </w:r>
      <w:r>
        <w:rPr>
          <w:rFonts w:ascii="宋体" w:hAnsi="宋体" w:hint="eastAsia"/>
          <w:sz w:val="18"/>
          <w:szCs w:val="18"/>
        </w:rPr>
        <w:t>.★</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hint="eastAsia"/>
          <w:sz w:val="18"/>
          <w:szCs w:val="18"/>
        </w:rPr>
        <w:t>不</w:t>
      </w:r>
      <w:proofErr w:type="gramEnd"/>
      <w:r>
        <w:rPr>
          <w:rFonts w:ascii="黑体" w:eastAsia="黑体" w:hAnsi="黑体" w:hint="eastAsia"/>
          <w:sz w:val="18"/>
          <w:szCs w:val="18"/>
        </w:rPr>
        <w:t>免除因代理销售机构过错依法应由代理销售机构承担的责任。</w:t>
      </w:r>
    </w:p>
    <w:p w:rsidR="00FC6DC4" w:rsidRDefault="00F86856">
      <w:pPr>
        <w:spacing w:line="360" w:lineRule="auto"/>
        <w:ind w:firstLineChars="200" w:firstLine="360"/>
        <w:rPr>
          <w:rFonts w:ascii="黑体" w:eastAsia="黑体" w:hAnsi="黑体"/>
          <w:sz w:val="18"/>
          <w:szCs w:val="18"/>
        </w:rPr>
      </w:pPr>
      <w:r>
        <w:rPr>
          <w:rFonts w:ascii="黑体" w:eastAsia="黑体" w:hAnsi="黑体"/>
          <w:sz w:val="18"/>
          <w:szCs w:val="18"/>
        </w:rPr>
        <w:t>16.</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FC6DC4" w:rsidRDefault="00F86856">
      <w:pPr>
        <w:spacing w:line="360" w:lineRule="auto"/>
        <w:ind w:firstLineChars="200" w:firstLine="360"/>
        <w:rPr>
          <w:rFonts w:ascii="宋体" w:hAnsi="宋体"/>
          <w:sz w:val="18"/>
          <w:szCs w:val="18"/>
        </w:rPr>
      </w:pPr>
      <w:r>
        <w:rPr>
          <w:rFonts w:ascii="宋体" w:hAnsi="宋体"/>
          <w:sz w:val="18"/>
          <w:szCs w:val="18"/>
        </w:rPr>
        <w:lastRenderedPageBreak/>
        <w:t>17.</w:t>
      </w:r>
      <w:r>
        <w:rPr>
          <w:rFonts w:ascii="黑体" w:eastAsia="黑体" w:hAnsi="黑体" w:hint="eastAsia"/>
          <w:sz w:val="18"/>
          <w:szCs w:val="18"/>
        </w:rPr>
        <w:t xml:space="preserve"> 关联交易风险</w:t>
      </w: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FC6DC4" w:rsidRDefault="00F86856">
      <w:pPr>
        <w:spacing w:line="360" w:lineRule="auto"/>
        <w:ind w:firstLineChars="200" w:firstLine="361"/>
        <w:rPr>
          <w:rFonts w:ascii="黑体" w:eastAsia="黑体" w:hAnsi="黑体"/>
          <w:b/>
          <w:sz w:val="18"/>
          <w:szCs w:val="18"/>
        </w:rPr>
      </w:pPr>
      <w:r>
        <w:rPr>
          <w:rFonts w:ascii="黑体" w:eastAsia="黑体" w:hAnsi="黑体" w:hint="eastAsia"/>
          <w:b/>
          <w:sz w:val="18"/>
          <w:szCs w:val="18"/>
        </w:rPr>
        <w:t>（</w:t>
      </w:r>
      <w:r>
        <w:rPr>
          <w:rFonts w:ascii="黑体" w:eastAsia="黑体" w:hAnsi="黑体"/>
          <w:b/>
          <w:sz w:val="18"/>
          <w:szCs w:val="18"/>
        </w:rPr>
        <w:t>三</w:t>
      </w:r>
      <w:r>
        <w:rPr>
          <w:rFonts w:ascii="黑体" w:eastAsia="黑体" w:hAnsi="黑体" w:hint="eastAsia"/>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FC6DC4" w:rsidRDefault="00FC6DC4">
      <w:pPr>
        <w:spacing w:line="360" w:lineRule="auto"/>
        <w:ind w:firstLineChars="200" w:firstLine="360"/>
        <w:rPr>
          <w:rFonts w:ascii="宋体" w:hAnsi="宋体"/>
          <w:sz w:val="18"/>
          <w:szCs w:val="18"/>
        </w:rPr>
      </w:pPr>
    </w:p>
    <w:p w:rsidR="00FC6DC4" w:rsidRDefault="00FC6DC4">
      <w:pPr>
        <w:pStyle w:val="Default"/>
        <w:spacing w:line="360" w:lineRule="auto"/>
        <w:rPr>
          <w:rFonts w:hAnsi="宋体"/>
          <w:sz w:val="18"/>
          <w:szCs w:val="18"/>
        </w:rPr>
      </w:pPr>
    </w:p>
    <w:sectPr w:rsidR="00FC6DC4">
      <w:footerReference w:type="default" r:id="rId31"/>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EEC" w:rsidRDefault="00153EEC">
      <w:r>
        <w:separator/>
      </w:r>
    </w:p>
  </w:endnote>
  <w:endnote w:type="continuationSeparator" w:id="0">
    <w:p w:rsidR="00153EEC" w:rsidRDefault="00153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4"/>
      <w:jc w:val="both"/>
      <w:rPr>
        <w:rFonts w:ascii="黑体" w:eastAsia="黑体" w:hAnsi="黑体"/>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4"/>
      <w:jc w:val="both"/>
      <w:rPr>
        <w:rFonts w:ascii="黑体" w:eastAsia="黑体" w:hAnsi="黑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4"/>
      <w:jc w:val="both"/>
      <w:rPr>
        <w:rFonts w:ascii="黑体" w:eastAsia="黑体" w:hAnsi="黑体"/>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EndPr/>
    <w:sdtContent>
      <w:p w:rsidR="00F9529B" w:rsidRDefault="00F9529B">
        <w:pPr>
          <w:pStyle w:val="aa"/>
          <w:jc w:val="center"/>
        </w:pPr>
        <w:r>
          <w:fldChar w:fldCharType="begin"/>
        </w:r>
        <w:r>
          <w:instrText xml:space="preserve"> PAGE   \* MERGEFORMAT </w:instrText>
        </w:r>
        <w:r>
          <w:fldChar w:fldCharType="separate"/>
        </w:r>
        <w:r w:rsidR="00A0593B" w:rsidRPr="00A0593B">
          <w:rPr>
            <w:noProof/>
            <w:lang w:val="zh-CN"/>
          </w:rPr>
          <w:t>10</w:t>
        </w:r>
        <w:r>
          <w:fldChar w:fldCharType="end"/>
        </w:r>
      </w:p>
    </w:sdtContent>
  </w:sdt>
  <w:p w:rsidR="00F9529B" w:rsidRDefault="00F9529B">
    <w:pPr>
      <w:pStyle w:val="a4"/>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EEC" w:rsidRDefault="00153EEC">
      <w:r>
        <w:separator/>
      </w:r>
    </w:p>
  </w:footnote>
  <w:footnote w:type="continuationSeparator" w:id="0">
    <w:p w:rsidR="00153EEC" w:rsidRDefault="00153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b"/>
      <w:pBdr>
        <w:bottom w:val="thickThinLargeGap" w:sz="24" w:space="0" w:color="auto"/>
      </w:pBdr>
      <w:tabs>
        <w:tab w:val="right" w:pos="8280"/>
      </w:tabs>
      <w:wordWrap w:val="0"/>
      <w:adjustRightInd w:val="0"/>
      <w:jc w:val="right"/>
      <w:rPr>
        <w:b/>
      </w:rPr>
    </w:pPr>
    <w:r>
      <w:rPr>
        <w:rFonts w:hint="eastAsia"/>
      </w:rPr>
      <w:t xml:space="preserve"> </w:t>
    </w:r>
    <w:r>
      <w:rPr>
        <w:rFonts w:hint="eastAsia"/>
        <w:b/>
      </w:rPr>
      <w:t>产品说明书</w:t>
    </w:r>
  </w:p>
  <w:p w:rsidR="00F9529B" w:rsidRDefault="00F9529B">
    <w:pPr>
      <w:pStyle w:val="ab"/>
      <w:pBdr>
        <w:bottom w:val="thickThinLargeGap" w:sz="24" w:space="0" w:color="auto"/>
      </w:pBdr>
      <w:tabs>
        <w:tab w:val="right" w:pos="8280"/>
      </w:tabs>
      <w:adjustRightInd w:val="0"/>
      <w:jc w:val="right"/>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6E7124"/>
    <w:rsid w:val="0000208C"/>
    <w:rsid w:val="00002480"/>
    <w:rsid w:val="00004D12"/>
    <w:rsid w:val="00006848"/>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2C76"/>
    <w:rsid w:val="00042CE7"/>
    <w:rsid w:val="000438E6"/>
    <w:rsid w:val="00044823"/>
    <w:rsid w:val="00044AE2"/>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3EEC"/>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2BF2"/>
    <w:rsid w:val="002347F9"/>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4B8"/>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22D5"/>
    <w:rsid w:val="00313E17"/>
    <w:rsid w:val="00320153"/>
    <w:rsid w:val="003224C7"/>
    <w:rsid w:val="00327E26"/>
    <w:rsid w:val="00330DD8"/>
    <w:rsid w:val="00330E24"/>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E86"/>
    <w:rsid w:val="00391268"/>
    <w:rsid w:val="00391BBC"/>
    <w:rsid w:val="00392F32"/>
    <w:rsid w:val="0039407B"/>
    <w:rsid w:val="00396E72"/>
    <w:rsid w:val="003A403E"/>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239"/>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578C"/>
    <w:rsid w:val="004E605C"/>
    <w:rsid w:val="004E78A6"/>
    <w:rsid w:val="004F0C90"/>
    <w:rsid w:val="004F10F4"/>
    <w:rsid w:val="004F14E2"/>
    <w:rsid w:val="004F15A3"/>
    <w:rsid w:val="004F2F63"/>
    <w:rsid w:val="004F3355"/>
    <w:rsid w:val="004F45E5"/>
    <w:rsid w:val="004F483B"/>
    <w:rsid w:val="004F5319"/>
    <w:rsid w:val="004F58A4"/>
    <w:rsid w:val="004F75E3"/>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3C44"/>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28AE"/>
    <w:rsid w:val="006368DF"/>
    <w:rsid w:val="0064020E"/>
    <w:rsid w:val="0064076F"/>
    <w:rsid w:val="0064087A"/>
    <w:rsid w:val="00642A61"/>
    <w:rsid w:val="006451BF"/>
    <w:rsid w:val="006453CC"/>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5A0"/>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0F3C"/>
    <w:rsid w:val="006D160E"/>
    <w:rsid w:val="006D1E76"/>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0AF0"/>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80770"/>
    <w:rsid w:val="00783025"/>
    <w:rsid w:val="00784BFC"/>
    <w:rsid w:val="0078739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1185"/>
    <w:rsid w:val="007D37FB"/>
    <w:rsid w:val="007D3AB0"/>
    <w:rsid w:val="007D3C57"/>
    <w:rsid w:val="007D6324"/>
    <w:rsid w:val="007D68C9"/>
    <w:rsid w:val="007D6F94"/>
    <w:rsid w:val="007D7B84"/>
    <w:rsid w:val="007E1F76"/>
    <w:rsid w:val="007E2C2F"/>
    <w:rsid w:val="007E345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76A"/>
    <w:rsid w:val="00807C0F"/>
    <w:rsid w:val="00807F91"/>
    <w:rsid w:val="0081012C"/>
    <w:rsid w:val="0081039A"/>
    <w:rsid w:val="008103FD"/>
    <w:rsid w:val="00810570"/>
    <w:rsid w:val="00810605"/>
    <w:rsid w:val="00810BBC"/>
    <w:rsid w:val="0081517F"/>
    <w:rsid w:val="0081549F"/>
    <w:rsid w:val="008176FD"/>
    <w:rsid w:val="00820221"/>
    <w:rsid w:val="00820966"/>
    <w:rsid w:val="008216F7"/>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4B6B"/>
    <w:rsid w:val="008655A1"/>
    <w:rsid w:val="008666DD"/>
    <w:rsid w:val="00866CCD"/>
    <w:rsid w:val="00870018"/>
    <w:rsid w:val="00871411"/>
    <w:rsid w:val="00871A7B"/>
    <w:rsid w:val="00872192"/>
    <w:rsid w:val="008726D9"/>
    <w:rsid w:val="008740D8"/>
    <w:rsid w:val="0087506B"/>
    <w:rsid w:val="0087693A"/>
    <w:rsid w:val="00876C63"/>
    <w:rsid w:val="00876D94"/>
    <w:rsid w:val="0089069E"/>
    <w:rsid w:val="008912D3"/>
    <w:rsid w:val="008914CB"/>
    <w:rsid w:val="008937B1"/>
    <w:rsid w:val="00894A43"/>
    <w:rsid w:val="00895477"/>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3EAC"/>
    <w:rsid w:val="00997E03"/>
    <w:rsid w:val="009A0770"/>
    <w:rsid w:val="009A0BA3"/>
    <w:rsid w:val="009A1A8B"/>
    <w:rsid w:val="009A2A56"/>
    <w:rsid w:val="009A418D"/>
    <w:rsid w:val="009A520C"/>
    <w:rsid w:val="009A75FE"/>
    <w:rsid w:val="009B137E"/>
    <w:rsid w:val="009B2144"/>
    <w:rsid w:val="009B2D08"/>
    <w:rsid w:val="009B6315"/>
    <w:rsid w:val="009B6C73"/>
    <w:rsid w:val="009C4645"/>
    <w:rsid w:val="009C59F9"/>
    <w:rsid w:val="009C63B1"/>
    <w:rsid w:val="009C6C6F"/>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593B"/>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3C4"/>
    <w:rsid w:val="00A7660D"/>
    <w:rsid w:val="00A776D2"/>
    <w:rsid w:val="00A836BF"/>
    <w:rsid w:val="00A83C4D"/>
    <w:rsid w:val="00A83D4C"/>
    <w:rsid w:val="00A84317"/>
    <w:rsid w:val="00A85490"/>
    <w:rsid w:val="00A85845"/>
    <w:rsid w:val="00A86707"/>
    <w:rsid w:val="00A86794"/>
    <w:rsid w:val="00A870EE"/>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34BD"/>
    <w:rsid w:val="00AB3C03"/>
    <w:rsid w:val="00AB50AF"/>
    <w:rsid w:val="00AB52EA"/>
    <w:rsid w:val="00AB5EF6"/>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0F5"/>
    <w:rsid w:val="00AE68F6"/>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5C64"/>
    <w:rsid w:val="00B36270"/>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64E9"/>
    <w:rsid w:val="00B67A2A"/>
    <w:rsid w:val="00B70610"/>
    <w:rsid w:val="00B70789"/>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32A6"/>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5DB"/>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4131"/>
    <w:rsid w:val="00DD4387"/>
    <w:rsid w:val="00DD5B36"/>
    <w:rsid w:val="00DD7C42"/>
    <w:rsid w:val="00DE0C12"/>
    <w:rsid w:val="00DE295D"/>
    <w:rsid w:val="00DE2B95"/>
    <w:rsid w:val="00DE45E9"/>
    <w:rsid w:val="00DE51F9"/>
    <w:rsid w:val="00DE52FB"/>
    <w:rsid w:val="00DE56BC"/>
    <w:rsid w:val="00DE7F8F"/>
    <w:rsid w:val="00DF03B9"/>
    <w:rsid w:val="00DF0C4B"/>
    <w:rsid w:val="00DF0F34"/>
    <w:rsid w:val="00DF1657"/>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696"/>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6856"/>
    <w:rsid w:val="00F87537"/>
    <w:rsid w:val="00F947DC"/>
    <w:rsid w:val="00F9529B"/>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3307"/>
    <w:rsid w:val="00FC42A3"/>
    <w:rsid w:val="00FC55F9"/>
    <w:rsid w:val="00FC60D4"/>
    <w:rsid w:val="00FC6DC4"/>
    <w:rsid w:val="00FC77AE"/>
    <w:rsid w:val="00FC7D9F"/>
    <w:rsid w:val="00FD2BAD"/>
    <w:rsid w:val="00FD2F51"/>
    <w:rsid w:val="00FD330C"/>
    <w:rsid w:val="00FD3660"/>
    <w:rsid w:val="00FD484C"/>
    <w:rsid w:val="00FD49D6"/>
    <w:rsid w:val="00FD55FB"/>
    <w:rsid w:val="00FD569D"/>
    <w:rsid w:val="00FD678B"/>
    <w:rsid w:val="00FD6903"/>
    <w:rsid w:val="00FE1ADC"/>
    <w:rsid w:val="00FE225D"/>
    <w:rsid w:val="00FE4989"/>
    <w:rsid w:val="00FE5C3E"/>
    <w:rsid w:val="00FF0A2F"/>
    <w:rsid w:val="00FF1B04"/>
    <w:rsid w:val="00FF22F8"/>
    <w:rsid w:val="01654C82"/>
    <w:rsid w:val="01A31AE7"/>
    <w:rsid w:val="020A6A96"/>
    <w:rsid w:val="0356786B"/>
    <w:rsid w:val="03C96CBB"/>
    <w:rsid w:val="043A3FD8"/>
    <w:rsid w:val="046E31C1"/>
    <w:rsid w:val="04D02CE5"/>
    <w:rsid w:val="056C4F65"/>
    <w:rsid w:val="06F4696E"/>
    <w:rsid w:val="07245E56"/>
    <w:rsid w:val="096812AC"/>
    <w:rsid w:val="0C023D8C"/>
    <w:rsid w:val="0C225D7B"/>
    <w:rsid w:val="0E94232E"/>
    <w:rsid w:val="0F1306D5"/>
    <w:rsid w:val="11295396"/>
    <w:rsid w:val="163E2FB7"/>
    <w:rsid w:val="17622796"/>
    <w:rsid w:val="19B81368"/>
    <w:rsid w:val="1A48157B"/>
    <w:rsid w:val="1BD70953"/>
    <w:rsid w:val="1BF87698"/>
    <w:rsid w:val="1D73517C"/>
    <w:rsid w:val="1E585AB7"/>
    <w:rsid w:val="1EB160C2"/>
    <w:rsid w:val="1FF145B9"/>
    <w:rsid w:val="2193546F"/>
    <w:rsid w:val="26F50BA9"/>
    <w:rsid w:val="27BD5E26"/>
    <w:rsid w:val="285E4249"/>
    <w:rsid w:val="29026D00"/>
    <w:rsid w:val="293556EA"/>
    <w:rsid w:val="2AAC6EE9"/>
    <w:rsid w:val="2C243C94"/>
    <w:rsid w:val="2EA644DF"/>
    <w:rsid w:val="2FB532A0"/>
    <w:rsid w:val="319C4BEA"/>
    <w:rsid w:val="34C829B2"/>
    <w:rsid w:val="35381804"/>
    <w:rsid w:val="358D60A8"/>
    <w:rsid w:val="386A3F56"/>
    <w:rsid w:val="38D50832"/>
    <w:rsid w:val="39B27394"/>
    <w:rsid w:val="3A810EF7"/>
    <w:rsid w:val="3ACF0F3F"/>
    <w:rsid w:val="3C3802E9"/>
    <w:rsid w:val="3E586AB8"/>
    <w:rsid w:val="3E5C1B1D"/>
    <w:rsid w:val="3EAE14E9"/>
    <w:rsid w:val="3FD261A6"/>
    <w:rsid w:val="42EB2F9C"/>
    <w:rsid w:val="43F76571"/>
    <w:rsid w:val="4407698D"/>
    <w:rsid w:val="45226963"/>
    <w:rsid w:val="49756458"/>
    <w:rsid w:val="4D39606F"/>
    <w:rsid w:val="4F8E3D4D"/>
    <w:rsid w:val="53063B85"/>
    <w:rsid w:val="533C1961"/>
    <w:rsid w:val="53B3493A"/>
    <w:rsid w:val="5418588F"/>
    <w:rsid w:val="5537323C"/>
    <w:rsid w:val="555A43BF"/>
    <w:rsid w:val="55855837"/>
    <w:rsid w:val="56503211"/>
    <w:rsid w:val="598B567E"/>
    <w:rsid w:val="5C624734"/>
    <w:rsid w:val="5C7C0704"/>
    <w:rsid w:val="5FE91ABC"/>
    <w:rsid w:val="61386B66"/>
    <w:rsid w:val="61732124"/>
    <w:rsid w:val="628E734C"/>
    <w:rsid w:val="6580603B"/>
    <w:rsid w:val="6811538A"/>
    <w:rsid w:val="68C7223A"/>
    <w:rsid w:val="68EF6886"/>
    <w:rsid w:val="6BC34FBB"/>
    <w:rsid w:val="6EAA7DFD"/>
    <w:rsid w:val="6FDD1093"/>
    <w:rsid w:val="709C0126"/>
    <w:rsid w:val="746E58DB"/>
    <w:rsid w:val="76022652"/>
    <w:rsid w:val="768501BE"/>
    <w:rsid w:val="76C8601E"/>
    <w:rsid w:val="785F6471"/>
    <w:rsid w:val="78AB3944"/>
    <w:rsid w:val="79952C43"/>
    <w:rsid w:val="7BEA1CFE"/>
    <w:rsid w:val="7D803772"/>
    <w:rsid w:val="7D80556D"/>
    <w:rsid w:val="7E3713F1"/>
    <w:rsid w:val="7E9D5B85"/>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EAC8D9-24EB-4342-B6EB-6836F1D5B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pPr>
      <w:widowControl w:val="0"/>
    </w:pPr>
    <w:rPr>
      <w:rFonts w:ascii="Calibri" w:hAnsi="Calibri"/>
      <w:b/>
      <w:bCs/>
      <w:kern w:val="2"/>
      <w:sz w:val="21"/>
      <w:szCs w:val="22"/>
    </w:rPr>
  </w:style>
  <w:style w:type="paragraph" w:styleId="a4">
    <w:name w:val="annotation text"/>
    <w:basedOn w:val="a"/>
    <w:link w:val="Char0"/>
    <w:uiPriority w:val="99"/>
    <w:qFormat/>
    <w:pPr>
      <w:widowControl/>
      <w:jc w:val="left"/>
    </w:pPr>
    <w:rPr>
      <w:rFonts w:ascii="宋体" w:hAnsi="宋体"/>
      <w:kern w:val="0"/>
      <w:sz w:val="24"/>
      <w:szCs w:val="24"/>
    </w:rPr>
  </w:style>
  <w:style w:type="paragraph" w:styleId="a5">
    <w:name w:val="Normal Indent"/>
    <w:basedOn w:val="a"/>
    <w:qFormat/>
    <w:pPr>
      <w:ind w:firstLineChars="200" w:firstLine="420"/>
    </w:pPr>
    <w:rPr>
      <w:rFonts w:ascii="Times New Roman" w:hAnsi="Times New Roman" w:cs="Times New Roman"/>
      <w:szCs w:val="20"/>
    </w:rPr>
  </w:style>
  <w:style w:type="paragraph" w:styleId="a6">
    <w:name w:val="Document Map"/>
    <w:basedOn w:val="a"/>
    <w:link w:val="Char1"/>
    <w:qFormat/>
    <w:pPr>
      <w:shd w:val="clear" w:color="auto" w:fill="000080"/>
    </w:pPr>
    <w:rPr>
      <w:rFonts w:ascii="Times New Roman" w:hAnsi="Times New Roman" w:cs="Times New Roman"/>
      <w:szCs w:val="20"/>
    </w:rPr>
  </w:style>
  <w:style w:type="paragraph" w:styleId="a7">
    <w:name w:val="Body Text"/>
    <w:basedOn w:val="a"/>
    <w:link w:val="Char2"/>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8">
    <w:name w:val="Plain Text"/>
    <w:basedOn w:val="a"/>
    <w:link w:val="Char3"/>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9">
    <w:name w:val="Balloon Text"/>
    <w:basedOn w:val="a"/>
    <w:link w:val="Char4"/>
    <w:uiPriority w:val="99"/>
    <w:qFormat/>
    <w:rPr>
      <w:sz w:val="18"/>
      <w:szCs w:val="18"/>
    </w:rPr>
  </w:style>
  <w:style w:type="paragraph" w:styleId="aa">
    <w:name w:val="footer"/>
    <w:basedOn w:val="a"/>
    <w:link w:val="Char5"/>
    <w:uiPriority w:val="99"/>
    <w:qFormat/>
    <w:pPr>
      <w:tabs>
        <w:tab w:val="center" w:pos="4153"/>
        <w:tab w:val="right" w:pos="8306"/>
      </w:tabs>
      <w:snapToGrid w:val="0"/>
      <w:jc w:val="left"/>
    </w:pPr>
    <w:rPr>
      <w:sz w:val="18"/>
      <w:szCs w:val="18"/>
    </w:rPr>
  </w:style>
  <w:style w:type="paragraph" w:styleId="ab">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c">
    <w:name w:val="footnote text"/>
    <w:basedOn w:val="a"/>
    <w:link w:val="Char7"/>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d">
    <w:name w:val="Normal (Web)"/>
    <w:basedOn w:val="a"/>
    <w:qFormat/>
    <w:pPr>
      <w:widowControl/>
      <w:spacing w:before="100" w:beforeAutospacing="1" w:after="100" w:afterAutospacing="1"/>
      <w:jc w:val="left"/>
    </w:pPr>
    <w:rPr>
      <w:rFonts w:ascii="宋体" w:hAnsi="宋体"/>
      <w:kern w:val="0"/>
      <w:sz w:val="24"/>
      <w:szCs w:val="24"/>
    </w:rPr>
  </w:style>
  <w:style w:type="paragraph" w:styleId="ae">
    <w:name w:val="Title"/>
    <w:basedOn w:val="a"/>
    <w:next w:val="a"/>
    <w:link w:val="Char8"/>
    <w:qFormat/>
    <w:pPr>
      <w:spacing w:before="240" w:after="60"/>
      <w:jc w:val="center"/>
      <w:outlineLvl w:val="0"/>
    </w:pPr>
    <w:rPr>
      <w:rFonts w:ascii="Cambria" w:hAnsi="Cambria"/>
      <w:b/>
      <w:sz w:val="32"/>
      <w:szCs w:val="20"/>
    </w:rPr>
  </w:style>
  <w:style w:type="character" w:styleId="af">
    <w:name w:val="Strong"/>
    <w:uiPriority w:val="22"/>
    <w:qFormat/>
    <w:rPr>
      <w:b/>
      <w:bCs/>
    </w:rPr>
  </w:style>
  <w:style w:type="character" w:styleId="af0">
    <w:name w:val="page number"/>
    <w:basedOn w:val="a0"/>
    <w:qFormat/>
  </w:style>
  <w:style w:type="character" w:styleId="af1">
    <w:name w:val="Hyperlink"/>
    <w:basedOn w:val="a0"/>
    <w:uiPriority w:val="99"/>
    <w:unhideWhenUsed/>
    <w:qFormat/>
    <w:rPr>
      <w:color w:val="0000FF" w:themeColor="hyperlink"/>
      <w:u w:val="single"/>
    </w:rPr>
  </w:style>
  <w:style w:type="character" w:styleId="af2">
    <w:name w:val="annotation reference"/>
    <w:uiPriority w:val="99"/>
    <w:qFormat/>
    <w:rPr>
      <w:sz w:val="21"/>
      <w:szCs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页眉 Char"/>
    <w:basedOn w:val="a0"/>
    <w:link w:val="ab"/>
    <w:uiPriority w:val="99"/>
    <w:qFormat/>
    <w:rPr>
      <w:sz w:val="18"/>
      <w:szCs w:val="18"/>
    </w:rPr>
  </w:style>
  <w:style w:type="character" w:customStyle="1" w:styleId="Char5">
    <w:name w:val="页脚 Char"/>
    <w:basedOn w:val="a0"/>
    <w:link w:val="aa"/>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4"/>
    <w:uiPriority w:val="99"/>
    <w:qFormat/>
    <w:rPr>
      <w:rFonts w:ascii="宋体" w:eastAsia="宋体" w:hAnsi="宋体" w:cs="宋体"/>
      <w:kern w:val="0"/>
      <w:sz w:val="24"/>
      <w:szCs w:val="24"/>
    </w:rPr>
  </w:style>
  <w:style w:type="character" w:customStyle="1" w:styleId="Char4">
    <w:name w:val="批注框文本 Char"/>
    <w:basedOn w:val="a0"/>
    <w:link w:val="a9"/>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
    <w:name w:val="批注主题 Char"/>
    <w:basedOn w:val="Char0"/>
    <w:link w:val="a3"/>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8">
    <w:name w:val="标题 Char"/>
    <w:link w:val="ae"/>
    <w:qFormat/>
    <w:rPr>
      <w:rFonts w:ascii="Cambria" w:hAnsi="Cambria"/>
      <w:b/>
      <w:kern w:val="2"/>
      <w:sz w:val="32"/>
    </w:rPr>
  </w:style>
  <w:style w:type="character" w:customStyle="1" w:styleId="Char2">
    <w:name w:val="正文文本 Char"/>
    <w:link w:val="a7"/>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1">
    <w:name w:val="文档结构图 Char"/>
    <w:basedOn w:val="a0"/>
    <w:link w:val="a6"/>
    <w:qFormat/>
    <w:rPr>
      <w:rFonts w:ascii="Times New Roman" w:hAnsi="Times New Roman" w:cs="Times New Roman"/>
      <w:kern w:val="2"/>
      <w:sz w:val="21"/>
      <w:shd w:val="clear" w:color="auto" w:fill="000080"/>
    </w:rPr>
  </w:style>
  <w:style w:type="character" w:customStyle="1" w:styleId="Char3">
    <w:name w:val="纯文本 Char"/>
    <w:basedOn w:val="a0"/>
    <w:link w:val="a8"/>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7">
    <w:name w:val="脚注文本 Char"/>
    <w:basedOn w:val="a0"/>
    <w:link w:val="ac"/>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 w:type="paragraph" w:customStyle="1" w:styleId="5">
    <w:name w:val="修订5"/>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947931">
      <w:bodyDiv w:val="1"/>
      <w:marLeft w:val="0"/>
      <w:marRight w:val="0"/>
      <w:marTop w:val="0"/>
      <w:marBottom w:val="0"/>
      <w:divBdr>
        <w:top w:val="none" w:sz="0" w:space="0" w:color="auto"/>
        <w:left w:val="none" w:sz="0" w:space="0" w:color="auto"/>
        <w:bottom w:val="none" w:sz="0" w:space="0" w:color="auto"/>
        <w:right w:val="none" w:sz="0" w:space="0" w:color="auto"/>
      </w:divBdr>
    </w:div>
    <w:div w:id="1836995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numbering" Target="numbering.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hyperlink" Target="http://www.chinawealth.com.cn" TargetMode="Externa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s:customData xmlns="http://www.wps.cn/officeDocument/2013/wpsCustomData" xmlns:s="http://www.wps.cn/officeDocument/2013/wpsCustomData">
  <customSectProps>
    <customSectPr/>
    <customSectPr/>
    <customSectPr/>
  </customSectProps>
</s: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0.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1.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2.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3.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5.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6.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7.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8.xml><?xml version="1.0" encoding="utf-8"?>
<ds:datastoreItem xmlns:ds="http://schemas.openxmlformats.org/officeDocument/2006/customXml" ds:itemID="{70104871-81B2-483F-A95B-D0A36B8A5036}">
  <ds:schemaRefs>
    <ds:schemaRef ds:uri="http://schemas.openxmlformats.org/officeDocument/2006/bibliography"/>
  </ds:schemaRefs>
</ds:datastoreItem>
</file>

<file path=customXml/itemProps2.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3.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4.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5.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6.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7.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8.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9.xml><?xml version="1.0" encoding="utf-8"?>
<ds:datastoreItem xmlns:ds="http://schemas.openxmlformats.org/officeDocument/2006/customXml" ds:itemID="{EC45DDBE-A426-47CA-BC62-D025DE29F1BC}">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41</Pages>
  <Words>4658</Words>
  <Characters>26555</Characters>
  <Application>Microsoft Office Word</Application>
  <DocSecurity>0</DocSecurity>
  <Lines>221</Lines>
  <Paragraphs>62</Paragraphs>
  <ScaleCrop>false</ScaleCrop>
  <Company>Microsoft</Company>
  <LinksUpToDate>false</LinksUpToDate>
  <CharactersWithSpaces>31151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119</cp:revision>
  <cp:lastPrinted>2022-01-18T08:37:00Z</cp:lastPrinted>
  <dcterms:created xsi:type="dcterms:W3CDTF">2021-09-06T06:01:00Z</dcterms:created>
  <dcterms:modified xsi:type="dcterms:W3CDTF">2022-09-02T01:53:00Z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5466F5ED04264CD88390FDC4DDCA6BAE</vt:lpwstr>
  </property>
</Properties>
</file>